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2D20" w:rsidRPr="00D6643C" w14:paraId="5B877983" w14:textId="77777777" w:rsidTr="00DA7BB8">
        <w:tc>
          <w:tcPr>
            <w:tcW w:w="10060" w:type="dxa"/>
            <w:shd w:val="clear" w:color="auto" w:fill="1F3864"/>
          </w:tcPr>
          <w:p w14:paraId="24228650" w14:textId="77777777" w:rsidR="00072D20" w:rsidRPr="00D6643C" w:rsidRDefault="00374FCB" w:rsidP="00374FCB">
            <w:pPr>
              <w:jc w:val="center"/>
              <w:rPr>
                <w:b/>
                <w:color w:val="FFFFFF" w:themeColor="background1"/>
                <w:sz w:val="64"/>
                <w:szCs w:val="64"/>
              </w:rPr>
            </w:pPr>
            <w:r>
              <w:rPr>
                <w:b/>
                <w:color w:val="FFFFFF" w:themeColor="background1"/>
                <w:sz w:val="64"/>
                <w:szCs w:val="64"/>
              </w:rPr>
              <w:t>CIRCUITO DE PLATA</w:t>
            </w:r>
          </w:p>
        </w:tc>
      </w:tr>
    </w:tbl>
    <w:p w14:paraId="774D773F" w14:textId="77777777" w:rsidR="00072D20" w:rsidRPr="00777AE0" w:rsidRDefault="00072D20" w:rsidP="00072D20">
      <w:pPr>
        <w:pStyle w:val="dias"/>
        <w:jc w:val="center"/>
        <w:rPr>
          <w:color w:val="1F3864"/>
          <w:sz w:val="40"/>
          <w:szCs w:val="40"/>
        </w:rPr>
      </w:pPr>
      <w:r w:rsidRPr="00777AE0">
        <w:rPr>
          <w:caps w:val="0"/>
          <w:color w:val="1F3864"/>
          <w:sz w:val="40"/>
          <w:szCs w:val="40"/>
        </w:rPr>
        <w:t xml:space="preserve">Visitando: </w:t>
      </w:r>
      <w:r w:rsidRPr="00072D20">
        <w:rPr>
          <w:caps w:val="0"/>
          <w:color w:val="1F3864"/>
          <w:sz w:val="40"/>
          <w:szCs w:val="40"/>
        </w:rPr>
        <w:t>Filadelfia, Washington, Cataratas del Niágara, Boston, Newport</w:t>
      </w:r>
    </w:p>
    <w:p w14:paraId="71E491DD" w14:textId="77777777" w:rsidR="00072D20" w:rsidRPr="00072D20" w:rsidRDefault="00A21912" w:rsidP="00072D20">
      <w:pPr>
        <w:pStyle w:val="subtituloprograma"/>
        <w:rPr>
          <w:color w:val="1F3864"/>
        </w:rPr>
      </w:pPr>
      <w:r>
        <w:rPr>
          <w:color w:val="1F3864"/>
        </w:rPr>
        <w:t>6</w:t>
      </w:r>
      <w:r w:rsidR="00072D20" w:rsidRPr="00072D20">
        <w:rPr>
          <w:color w:val="1F3864"/>
        </w:rPr>
        <w:t xml:space="preserve"> días </w:t>
      </w:r>
      <w:r>
        <w:rPr>
          <w:color w:val="1F3864"/>
        </w:rPr>
        <w:t>5</w:t>
      </w:r>
      <w:r w:rsidR="00072D20" w:rsidRPr="00072D20">
        <w:rPr>
          <w:color w:val="1F3864"/>
        </w:rPr>
        <w:t xml:space="preserve"> noches</w:t>
      </w:r>
    </w:p>
    <w:p w14:paraId="68BCAD5D" w14:textId="77777777" w:rsidR="00072D20" w:rsidRDefault="00072D20" w:rsidP="00072D20">
      <w:pPr>
        <w:pStyle w:val="itinerario"/>
      </w:pPr>
    </w:p>
    <w:p w14:paraId="2953C026" w14:textId="77777777" w:rsidR="00072D20" w:rsidRDefault="00072D20" w:rsidP="00072D20">
      <w:pPr>
        <w:pStyle w:val="itinerario"/>
      </w:pPr>
      <w:r>
        <w:rPr>
          <w:noProof/>
          <w:lang w:eastAsia="es-CO" w:bidi="ar-SA"/>
        </w:rPr>
        <w:drawing>
          <wp:inline distT="0" distB="0" distL="0" distR="0" wp14:anchorId="03E1BB9F" wp14:editId="05E76F33">
            <wp:extent cx="6426835" cy="2886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30661" cy="2887793"/>
                    </a:xfrm>
                    <a:prstGeom prst="rect">
                      <a:avLst/>
                    </a:prstGeom>
                    <a:noFill/>
                    <a:ln>
                      <a:noFill/>
                    </a:ln>
                  </pic:spPr>
                </pic:pic>
              </a:graphicData>
            </a:graphic>
          </wp:inline>
        </w:drawing>
      </w:r>
    </w:p>
    <w:p w14:paraId="0CFF32D9" w14:textId="77777777" w:rsidR="00072D20" w:rsidRPr="0043458F" w:rsidRDefault="00072D20" w:rsidP="00072D20">
      <w:pPr>
        <w:pStyle w:val="itinerario"/>
      </w:pPr>
    </w:p>
    <w:p w14:paraId="354E556C" w14:textId="491286A9" w:rsidR="00072D20" w:rsidRDefault="00A21912" w:rsidP="00072D20">
      <w:pPr>
        <w:pStyle w:val="itinerario"/>
      </w:pPr>
      <w:r>
        <w:t>U</w:t>
      </w:r>
      <w:r w:rsidRPr="00A21912">
        <w:t>n gran recorrido por la historia de Estados Unidos</w:t>
      </w:r>
      <w:r w:rsidR="003D7C27">
        <w:t>.</w:t>
      </w:r>
    </w:p>
    <w:p w14:paraId="215C8297" w14:textId="77777777" w:rsidR="003D7C27" w:rsidRDefault="003D7C27" w:rsidP="000A11BA">
      <w:pPr>
        <w:pStyle w:val="itinerario"/>
      </w:pPr>
    </w:p>
    <w:p w14:paraId="6044D78F" w14:textId="3E5015AE" w:rsidR="003D7C27" w:rsidRDefault="003D7C27" w:rsidP="003D7C27">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4C0E6D94" w14:textId="77777777" w:rsidR="003D7C27" w:rsidRPr="003D7C27" w:rsidRDefault="003D7C27" w:rsidP="00856034">
      <w:pPr>
        <w:pStyle w:val="itinerario"/>
      </w:pPr>
      <w:r w:rsidRPr="003D7C27">
        <w:tab/>
      </w:r>
    </w:p>
    <w:p w14:paraId="608E9E6E" w14:textId="77777777" w:rsidR="003D7C27" w:rsidRPr="003D7C27" w:rsidRDefault="003D7C27" w:rsidP="003D7C27">
      <w:pPr>
        <w:spacing w:before="0" w:after="0" w:line="240" w:lineRule="auto"/>
        <w:rPr>
          <w:rFonts w:cs="Calibri"/>
          <w:szCs w:val="22"/>
        </w:rPr>
        <w:sectPr w:rsidR="003D7C27" w:rsidRPr="003D7C27">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3D7C27" w:rsidRPr="003D7C27" w14:paraId="539024CC" w14:textId="77777777" w:rsidTr="0084658E">
        <w:tc>
          <w:tcPr>
            <w:tcW w:w="2265" w:type="dxa"/>
            <w:tcBorders>
              <w:top w:val="single" w:sz="4" w:space="0" w:color="auto"/>
              <w:left w:val="single" w:sz="4" w:space="0" w:color="auto"/>
              <w:bottom w:val="single" w:sz="4" w:space="0" w:color="auto"/>
              <w:right w:val="single" w:sz="4" w:space="0" w:color="auto"/>
            </w:tcBorders>
          </w:tcPr>
          <w:p w14:paraId="16CC2601" w14:textId="7F51958B" w:rsidR="003D7C27" w:rsidRPr="003D7C27" w:rsidRDefault="003D7C27" w:rsidP="0084658E">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30DAC3A3" w14:textId="4A9324FB" w:rsidR="003D7C27" w:rsidRPr="003D7C27" w:rsidRDefault="003D7C27" w:rsidP="0084658E">
            <w:pPr>
              <w:spacing w:line="0" w:lineRule="atLeast"/>
              <w:jc w:val="center"/>
              <w:rPr>
                <w:b/>
                <w:bCs/>
              </w:rPr>
            </w:pPr>
            <w:r w:rsidRPr="003D7C27">
              <w:rPr>
                <w:b/>
                <w:bCs/>
              </w:rPr>
              <w:t>22</w:t>
            </w:r>
            <w:r>
              <w:rPr>
                <w:b/>
                <w:bCs/>
              </w:rPr>
              <w:t>*</w:t>
            </w:r>
          </w:p>
        </w:tc>
      </w:tr>
      <w:tr w:rsidR="003D7C27" w:rsidRPr="003D7C27" w14:paraId="71C0C5B6" w14:textId="77777777" w:rsidTr="0084658E">
        <w:tc>
          <w:tcPr>
            <w:tcW w:w="2265" w:type="dxa"/>
            <w:tcBorders>
              <w:top w:val="single" w:sz="4" w:space="0" w:color="auto"/>
              <w:left w:val="single" w:sz="4" w:space="0" w:color="auto"/>
              <w:bottom w:val="single" w:sz="4" w:space="0" w:color="auto"/>
              <w:right w:val="single" w:sz="4" w:space="0" w:color="auto"/>
            </w:tcBorders>
            <w:hideMark/>
          </w:tcPr>
          <w:p w14:paraId="5854A507" w14:textId="77777777" w:rsidR="003D7C27" w:rsidRPr="003D7C27" w:rsidRDefault="003D7C27" w:rsidP="0084658E">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hideMark/>
          </w:tcPr>
          <w:p w14:paraId="424BD1EA" w14:textId="4D15065B" w:rsidR="003D7C27" w:rsidRPr="003D7C27" w:rsidRDefault="003D7C27" w:rsidP="0084658E">
            <w:pPr>
              <w:spacing w:line="0" w:lineRule="atLeast"/>
              <w:jc w:val="center"/>
            </w:pPr>
            <w:r>
              <w:t>19</w:t>
            </w:r>
            <w:r w:rsidRPr="003D7C27">
              <w:t xml:space="preserve"> </w:t>
            </w:r>
          </w:p>
        </w:tc>
      </w:tr>
      <w:tr w:rsidR="003D7C27" w:rsidRPr="003D7C27" w14:paraId="2D4A29C5" w14:textId="77777777" w:rsidTr="0084658E">
        <w:tc>
          <w:tcPr>
            <w:tcW w:w="2265" w:type="dxa"/>
            <w:tcBorders>
              <w:top w:val="single" w:sz="4" w:space="0" w:color="auto"/>
              <w:left w:val="single" w:sz="4" w:space="0" w:color="auto"/>
              <w:bottom w:val="single" w:sz="4" w:space="0" w:color="auto"/>
              <w:right w:val="single" w:sz="4" w:space="0" w:color="auto"/>
            </w:tcBorders>
            <w:hideMark/>
          </w:tcPr>
          <w:p w14:paraId="0B6DD0CE" w14:textId="77777777" w:rsidR="003D7C27" w:rsidRPr="003D7C27" w:rsidRDefault="003D7C27" w:rsidP="0084658E">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hideMark/>
          </w:tcPr>
          <w:p w14:paraId="0EF021B7" w14:textId="44F06CBC" w:rsidR="003D7C27" w:rsidRPr="003D7C27" w:rsidRDefault="003D7C27" w:rsidP="0084658E">
            <w:pPr>
              <w:spacing w:line="0" w:lineRule="atLeast"/>
              <w:jc w:val="center"/>
            </w:pPr>
            <w:r>
              <w:t xml:space="preserve">10 – 31 </w:t>
            </w:r>
          </w:p>
        </w:tc>
      </w:tr>
      <w:tr w:rsidR="003D7C27" w:rsidRPr="003D7C27" w14:paraId="2D27C70F"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11313E90" w14:textId="77777777" w:rsidR="003D7C27" w:rsidRPr="003D7C27" w:rsidRDefault="003D7C27" w:rsidP="0084658E">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2939E58B" w14:textId="643D3A20" w:rsidR="003D7C27" w:rsidRPr="003D7C27" w:rsidRDefault="003D7C27" w:rsidP="0084658E">
            <w:pPr>
              <w:spacing w:line="0" w:lineRule="atLeast"/>
              <w:jc w:val="center"/>
            </w:pPr>
            <w:r>
              <w:t xml:space="preserve">14 – 21 – 28  </w:t>
            </w:r>
          </w:p>
        </w:tc>
      </w:tr>
      <w:tr w:rsidR="003D7C27" w:rsidRPr="003D7C27" w14:paraId="4DBC4695"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6A0C61D0" w14:textId="77777777" w:rsidR="003D7C27" w:rsidRPr="003D7C27" w:rsidRDefault="003D7C27" w:rsidP="0084658E">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781160D2" w14:textId="44ABA9A4" w:rsidR="003D7C27" w:rsidRPr="003D7C27" w:rsidRDefault="003D7C27" w:rsidP="0084658E">
            <w:pPr>
              <w:spacing w:line="0" w:lineRule="atLeast"/>
              <w:jc w:val="center"/>
            </w:pPr>
            <w:r>
              <w:t xml:space="preserve">12 – 19 – 26 </w:t>
            </w:r>
          </w:p>
        </w:tc>
      </w:tr>
      <w:tr w:rsidR="003D7C27" w:rsidRPr="003D7C27" w14:paraId="4398859A"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4AECAA5B" w14:textId="77777777" w:rsidR="003D7C27" w:rsidRPr="003D7C27" w:rsidRDefault="003D7C27" w:rsidP="0084658E">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745031EF" w14:textId="6F12232D" w:rsidR="003D7C27" w:rsidRPr="003D7C27" w:rsidRDefault="003D7C27" w:rsidP="0084658E">
            <w:pPr>
              <w:spacing w:line="0" w:lineRule="atLeast"/>
              <w:jc w:val="center"/>
            </w:pPr>
            <w:r>
              <w:t xml:space="preserve">2 – 9 – 16 </w:t>
            </w:r>
          </w:p>
        </w:tc>
      </w:tr>
      <w:tr w:rsidR="003D7C27" w:rsidRPr="003D7C27" w14:paraId="327B1187"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4D4A2E73" w14:textId="77777777" w:rsidR="003D7C27" w:rsidRPr="003D7C27" w:rsidRDefault="003D7C27" w:rsidP="0084658E">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31E4D2E3" w14:textId="028DA6E7" w:rsidR="003D7C27" w:rsidRPr="003D7C27" w:rsidRDefault="003D7C27" w:rsidP="0084658E">
            <w:pPr>
              <w:spacing w:line="0" w:lineRule="atLeast"/>
              <w:jc w:val="center"/>
            </w:pPr>
            <w:r>
              <w:t>13</w:t>
            </w:r>
          </w:p>
        </w:tc>
      </w:tr>
      <w:tr w:rsidR="003D7C27" w:rsidRPr="003D7C27" w14:paraId="7FBCB77B"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365C3153" w14:textId="77777777" w:rsidR="003D7C27" w:rsidRPr="003D7C27" w:rsidRDefault="003D7C27" w:rsidP="0084658E">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09DD095C" w14:textId="298592EB" w:rsidR="003D7C27" w:rsidRPr="003D7C27" w:rsidRDefault="003D7C27" w:rsidP="0084658E">
            <w:pPr>
              <w:spacing w:line="0" w:lineRule="atLeast"/>
              <w:jc w:val="center"/>
            </w:pPr>
            <w:r>
              <w:t>4</w:t>
            </w:r>
          </w:p>
        </w:tc>
      </w:tr>
      <w:tr w:rsidR="003D7C27" w:rsidRPr="003D7C27" w14:paraId="39A7599B" w14:textId="77777777" w:rsidTr="003D7C27">
        <w:tc>
          <w:tcPr>
            <w:tcW w:w="2265" w:type="dxa"/>
            <w:tcBorders>
              <w:top w:val="single" w:sz="4" w:space="0" w:color="auto"/>
              <w:left w:val="single" w:sz="4" w:space="0" w:color="auto"/>
              <w:bottom w:val="single" w:sz="4" w:space="0" w:color="auto"/>
              <w:right w:val="single" w:sz="4" w:space="0" w:color="auto"/>
            </w:tcBorders>
            <w:hideMark/>
          </w:tcPr>
          <w:p w14:paraId="70239F12" w14:textId="77777777" w:rsidR="003D7C27" w:rsidRPr="003D7C27" w:rsidRDefault="003D7C27" w:rsidP="0084658E">
            <w:pPr>
              <w:spacing w:line="0" w:lineRule="atLeast"/>
              <w:jc w:val="center"/>
            </w:pPr>
            <w:r w:rsidRPr="003D7C27">
              <w:t>Diciembre</w:t>
            </w:r>
          </w:p>
        </w:tc>
        <w:tc>
          <w:tcPr>
            <w:tcW w:w="2266" w:type="dxa"/>
            <w:tcBorders>
              <w:top w:val="single" w:sz="4" w:space="0" w:color="auto"/>
              <w:left w:val="single" w:sz="4" w:space="0" w:color="auto"/>
              <w:bottom w:val="single" w:sz="4" w:space="0" w:color="auto"/>
              <w:right w:val="single" w:sz="4" w:space="0" w:color="auto"/>
            </w:tcBorders>
          </w:tcPr>
          <w:p w14:paraId="219A5B25" w14:textId="0E4D21DF" w:rsidR="003D7C27" w:rsidRPr="003D7C27" w:rsidRDefault="003D7C27" w:rsidP="0084658E">
            <w:pPr>
              <w:spacing w:line="0" w:lineRule="atLeast"/>
              <w:jc w:val="center"/>
              <w:rPr>
                <w:b/>
                <w:bCs/>
              </w:rPr>
            </w:pPr>
            <w:r w:rsidRPr="003D7C27">
              <w:rPr>
                <w:b/>
                <w:bCs/>
              </w:rPr>
              <w:t>30</w:t>
            </w:r>
            <w:r>
              <w:rPr>
                <w:b/>
                <w:bCs/>
              </w:rPr>
              <w:t xml:space="preserve">* </w:t>
            </w:r>
          </w:p>
        </w:tc>
      </w:tr>
    </w:tbl>
    <w:p w14:paraId="64256DDE" w14:textId="77777777" w:rsidR="003D7C27" w:rsidRPr="003D7C27" w:rsidRDefault="003D7C27" w:rsidP="003D7C27">
      <w:pPr>
        <w:spacing w:before="0" w:after="0" w:line="240" w:lineRule="auto"/>
        <w:rPr>
          <w:rFonts w:cs="Calibri"/>
          <w:b/>
          <w:bCs/>
          <w:caps/>
          <w:color w:val="1F3864"/>
          <w:sz w:val="28"/>
          <w:szCs w:val="28"/>
        </w:rPr>
        <w:sectPr w:rsidR="003D7C27" w:rsidRPr="003D7C27">
          <w:type w:val="continuous"/>
          <w:pgSz w:w="12240" w:h="15840"/>
          <w:pgMar w:top="1440" w:right="1080" w:bottom="1440" w:left="1080" w:header="708" w:footer="708" w:gutter="0"/>
          <w:cols w:num="2" w:space="708"/>
        </w:sectPr>
      </w:pPr>
    </w:p>
    <w:p w14:paraId="7D09B91E" w14:textId="77777777" w:rsidR="008857A6" w:rsidRDefault="008857A6" w:rsidP="008857A6">
      <w:pPr>
        <w:pStyle w:val="dias"/>
        <w:rPr>
          <w:color w:val="1F3864"/>
          <w:sz w:val="28"/>
          <w:szCs w:val="28"/>
        </w:rPr>
      </w:pPr>
      <w:r>
        <w:rPr>
          <w:color w:val="1F3864"/>
          <w:sz w:val="28"/>
          <w:szCs w:val="28"/>
        </w:rPr>
        <w:t>NOTA</w:t>
      </w:r>
    </w:p>
    <w:p w14:paraId="790F9FA4" w14:textId="63172098" w:rsidR="008857A6" w:rsidRDefault="008857A6" w:rsidP="008857A6">
      <w:pPr>
        <w:pStyle w:val="vinetas"/>
        <w:numPr>
          <w:ilvl w:val="0"/>
          <w:numId w:val="28"/>
        </w:numPr>
        <w:rPr>
          <w:lang w:bidi="ar-SA"/>
        </w:rPr>
      </w:pPr>
      <w:r>
        <w:t>Salida Semana Santa es viernes</w:t>
      </w:r>
      <w:r w:rsidR="00067E1B">
        <w:t>, marzo 22</w:t>
      </w:r>
      <w:r>
        <w:t xml:space="preserve">. </w:t>
      </w:r>
    </w:p>
    <w:p w14:paraId="676C5E92" w14:textId="77777777" w:rsidR="008857A6" w:rsidRPr="00FC5CFB" w:rsidRDefault="008857A6" w:rsidP="008857A6">
      <w:pPr>
        <w:pStyle w:val="vinetas"/>
        <w:numPr>
          <w:ilvl w:val="0"/>
          <w:numId w:val="28"/>
        </w:numPr>
        <w:rPr>
          <w:lang w:bidi="ar-SA"/>
        </w:rPr>
      </w:pPr>
      <w:r>
        <w:t>Salida diciembre 30 es un lunes.</w:t>
      </w:r>
    </w:p>
    <w:p w14:paraId="30FD64D0" w14:textId="77777777" w:rsidR="003D7C27" w:rsidRDefault="003D7C27" w:rsidP="003D7C27">
      <w:pPr>
        <w:spacing w:before="0" w:after="0" w:line="240" w:lineRule="auto"/>
        <w:rPr>
          <w:rFonts w:cs="Calibri"/>
          <w:b/>
          <w:bCs/>
          <w:caps/>
          <w:color w:val="1F3864"/>
          <w:sz w:val="28"/>
          <w:szCs w:val="28"/>
        </w:rPr>
      </w:pPr>
    </w:p>
    <w:p w14:paraId="7F6502CD" w14:textId="13B389B3" w:rsidR="003D7C27" w:rsidRPr="003D7C27" w:rsidRDefault="003D7C27" w:rsidP="003D7C27">
      <w:pPr>
        <w:spacing w:before="0" w:after="0" w:line="240" w:lineRule="auto"/>
        <w:rPr>
          <w:rFonts w:cs="Calibri"/>
          <w:b/>
          <w:bCs/>
          <w:caps/>
          <w:color w:val="1F3864"/>
          <w:sz w:val="28"/>
          <w:szCs w:val="28"/>
        </w:rPr>
        <w:sectPr w:rsidR="003D7C27" w:rsidRPr="003D7C27">
          <w:type w:val="continuous"/>
          <w:pgSz w:w="12240" w:h="15840"/>
          <w:pgMar w:top="1440" w:right="1080" w:bottom="1440" w:left="1080" w:header="708" w:footer="708" w:gutter="0"/>
          <w:cols w:num="2" w:space="708"/>
        </w:sectPr>
      </w:pPr>
    </w:p>
    <w:p w14:paraId="436C5AF6" w14:textId="2686530B" w:rsidR="00072D20" w:rsidRPr="00AE2622" w:rsidRDefault="00072D20" w:rsidP="00072D20">
      <w:pPr>
        <w:pStyle w:val="dias"/>
        <w:rPr>
          <w:color w:val="1F3864"/>
          <w:sz w:val="28"/>
          <w:szCs w:val="28"/>
        </w:rPr>
      </w:pPr>
      <w:r w:rsidRPr="00AE2622">
        <w:rPr>
          <w:color w:val="1F3864"/>
          <w:sz w:val="28"/>
          <w:szCs w:val="28"/>
        </w:rPr>
        <w:lastRenderedPageBreak/>
        <w:t>iNCLUYE</w:t>
      </w:r>
    </w:p>
    <w:p w14:paraId="2EEA7545" w14:textId="0E9FE987" w:rsidR="00297347" w:rsidRPr="00311C09" w:rsidRDefault="00297347" w:rsidP="00E55AEB">
      <w:pPr>
        <w:pStyle w:val="vinetas"/>
        <w:jc w:val="both"/>
      </w:pPr>
      <w:r w:rsidRPr="00311C09">
        <w:t>Transporte terrestre como lo indica el itinerario</w:t>
      </w:r>
      <w:r w:rsidR="008D0944">
        <w:t>, en servicio compartido</w:t>
      </w:r>
      <w:r w:rsidRPr="00311C09">
        <w:t>: Nueva York – Filadelfia – Washington – Cataratas del Niágara – Boston – Newport – N</w:t>
      </w:r>
      <w:r w:rsidR="000C2752">
        <w:t>ueva</w:t>
      </w:r>
      <w:r w:rsidRPr="00311C09">
        <w:t xml:space="preserve"> York.</w:t>
      </w:r>
    </w:p>
    <w:p w14:paraId="73A1B31A" w14:textId="35BC5853" w:rsidR="00311C09" w:rsidRDefault="00311C09" w:rsidP="00E55AEB">
      <w:pPr>
        <w:pStyle w:val="vinetas"/>
        <w:jc w:val="both"/>
      </w:pPr>
      <w:r>
        <w:t>2 noches de alojamiento en Washington.</w:t>
      </w:r>
    </w:p>
    <w:p w14:paraId="1D60E0E3" w14:textId="15952C44" w:rsidR="00311C09" w:rsidRDefault="00311C09" w:rsidP="00E55AEB">
      <w:pPr>
        <w:pStyle w:val="vinetas"/>
        <w:jc w:val="both"/>
      </w:pPr>
      <w:r>
        <w:t>1 noche de alojamiento en Niágara.</w:t>
      </w:r>
    </w:p>
    <w:p w14:paraId="28A0226F" w14:textId="16CFE474" w:rsidR="00311C09" w:rsidRDefault="00297347" w:rsidP="00E55AEB">
      <w:pPr>
        <w:pStyle w:val="vinetas"/>
        <w:jc w:val="both"/>
      </w:pPr>
      <w:r>
        <w:t>2</w:t>
      </w:r>
      <w:r w:rsidR="00311C09">
        <w:t xml:space="preserve"> noche</w:t>
      </w:r>
      <w:r>
        <w:t>s</w:t>
      </w:r>
      <w:r w:rsidR="00311C09">
        <w:t xml:space="preserve"> de alojamiento en Boston.</w:t>
      </w:r>
    </w:p>
    <w:p w14:paraId="2255B81E" w14:textId="77777777" w:rsidR="00311C09" w:rsidRDefault="00311C09" w:rsidP="00E55AEB">
      <w:pPr>
        <w:pStyle w:val="vinetas"/>
        <w:jc w:val="both"/>
      </w:pPr>
      <w:r>
        <w:t xml:space="preserve">Desayuno </w:t>
      </w:r>
      <w:r w:rsidR="00E375F6">
        <w:t>americano diario.</w:t>
      </w:r>
    </w:p>
    <w:p w14:paraId="4D852ECA" w14:textId="77777777" w:rsidR="00311C09" w:rsidRDefault="00311C09" w:rsidP="00E55AEB">
      <w:pPr>
        <w:pStyle w:val="vinetas"/>
        <w:jc w:val="both"/>
      </w:pPr>
      <w:r>
        <w:t>Visita panorámica de la ciudad de Filadelfia, en servicio compartido.</w:t>
      </w:r>
    </w:p>
    <w:p w14:paraId="0960D7B3" w14:textId="77777777" w:rsidR="00311C09" w:rsidRDefault="00311C09" w:rsidP="00E55AEB">
      <w:pPr>
        <w:pStyle w:val="vinetas"/>
        <w:jc w:val="both"/>
      </w:pPr>
      <w:r>
        <w:t>Visita panorámica de la ciudad de Washington, en servicio compartido.</w:t>
      </w:r>
    </w:p>
    <w:p w14:paraId="633F991C" w14:textId="77777777" w:rsidR="003D2676" w:rsidRDefault="00311C09" w:rsidP="00E55AEB">
      <w:pPr>
        <w:pStyle w:val="vinetas"/>
        <w:jc w:val="both"/>
      </w:pPr>
      <w:r>
        <w:t xml:space="preserve">Visita de las cataratas lado americano y paseo en el barco “Maid of the Mist” (Sujeto a operación entre mayo y octubre), en servicio compartido. </w:t>
      </w:r>
    </w:p>
    <w:p w14:paraId="19E1B206" w14:textId="77777777" w:rsidR="00311C09" w:rsidRDefault="00311C09" w:rsidP="00E55AEB">
      <w:pPr>
        <w:pStyle w:val="vinetas"/>
        <w:jc w:val="both"/>
      </w:pPr>
      <w:r>
        <w:t>Visita panorámica de la ciudad de Boston, en servicio compartido.</w:t>
      </w:r>
    </w:p>
    <w:p w14:paraId="02774469" w14:textId="77777777" w:rsidR="00297347" w:rsidRDefault="00297347" w:rsidP="00E55AEB">
      <w:pPr>
        <w:pStyle w:val="vinetas"/>
        <w:jc w:val="both"/>
      </w:pPr>
      <w:r>
        <w:t>Visita panorámica de la ciudad de Newport.</w:t>
      </w:r>
      <w:r w:rsidRPr="005106D9">
        <w:t xml:space="preserve"> </w:t>
      </w:r>
    </w:p>
    <w:p w14:paraId="34881469" w14:textId="77777777" w:rsidR="00311C09" w:rsidRDefault="00311C09" w:rsidP="00E55AEB">
      <w:pPr>
        <w:pStyle w:val="vinetas"/>
        <w:jc w:val="both"/>
      </w:pPr>
      <w:r>
        <w:t>Manejo de una (1) maleta por persona durante el recorrido.</w:t>
      </w:r>
    </w:p>
    <w:p w14:paraId="6383D6B0" w14:textId="77777777" w:rsidR="00311C09" w:rsidRDefault="00311C09" w:rsidP="00E55AEB">
      <w:pPr>
        <w:pStyle w:val="vinetas"/>
        <w:numPr>
          <w:ilvl w:val="0"/>
          <w:numId w:val="0"/>
        </w:numPr>
        <w:ind w:left="714" w:hanging="357"/>
        <w:jc w:val="both"/>
      </w:pPr>
      <w:r>
        <w:t>•</w:t>
      </w:r>
      <w:r>
        <w:tab/>
        <w:t>Impuestos hoteleros.</w:t>
      </w:r>
    </w:p>
    <w:p w14:paraId="53D006E9" w14:textId="77777777" w:rsidR="00772E4C" w:rsidRDefault="00772E4C" w:rsidP="00772E4C">
      <w:pPr>
        <w:pStyle w:val="itinerario"/>
      </w:pPr>
    </w:p>
    <w:p w14:paraId="6EA604D7" w14:textId="77777777" w:rsidR="00F61A6B" w:rsidRPr="00777AE0" w:rsidRDefault="00F61A6B" w:rsidP="00F61A6B">
      <w:pPr>
        <w:pStyle w:val="dias"/>
        <w:rPr>
          <w:color w:val="1F3864"/>
          <w:sz w:val="28"/>
          <w:szCs w:val="28"/>
        </w:rPr>
      </w:pPr>
      <w:r w:rsidRPr="00777AE0">
        <w:rPr>
          <w:caps w:val="0"/>
          <w:color w:val="1F3864"/>
          <w:sz w:val="28"/>
          <w:szCs w:val="28"/>
        </w:rPr>
        <w:t>NO INCLUYE</w:t>
      </w:r>
    </w:p>
    <w:p w14:paraId="72149108" w14:textId="77777777" w:rsidR="00F61A6B" w:rsidRDefault="00F61A6B" w:rsidP="00F61A6B">
      <w:pPr>
        <w:pStyle w:val="vinetas"/>
      </w:pPr>
      <w:r>
        <w:t>2% sobre el valor del paquete turístico por el manejo de divisas, valor cobrado por pago en efectivo en moneda extranjera no reembolsable.</w:t>
      </w:r>
    </w:p>
    <w:p w14:paraId="1A0CD386" w14:textId="77777777" w:rsidR="00F61A6B" w:rsidRPr="007F4802" w:rsidRDefault="00F61A6B" w:rsidP="00F61A6B">
      <w:pPr>
        <w:pStyle w:val="vinetas"/>
      </w:pPr>
      <w:r w:rsidRPr="007F4802">
        <w:t>Tiquetes Aéreos. (Q de combustible, Impuestos de tiquete, Tasa Administrativa).</w:t>
      </w:r>
    </w:p>
    <w:p w14:paraId="791B79A4" w14:textId="77777777" w:rsidR="00F61A6B" w:rsidRPr="007F4802" w:rsidRDefault="00F61A6B" w:rsidP="00F61A6B">
      <w:pPr>
        <w:pStyle w:val="vinetas"/>
      </w:pPr>
      <w:r w:rsidRPr="007F4802">
        <w:t>Tasas de aeropuerto.</w:t>
      </w:r>
    </w:p>
    <w:p w14:paraId="2E169119" w14:textId="77777777" w:rsidR="00F61A6B" w:rsidRDefault="00F61A6B" w:rsidP="00F61A6B">
      <w:pPr>
        <w:pStyle w:val="vinetas"/>
      </w:pPr>
      <w:r w:rsidRPr="007F4802">
        <w:t>Alimentación no estipulada en los itinerarios.</w:t>
      </w:r>
    </w:p>
    <w:p w14:paraId="32C94420" w14:textId="77777777" w:rsidR="00F61A6B" w:rsidRPr="007F4802" w:rsidRDefault="00F61A6B" w:rsidP="00F61A6B">
      <w:pPr>
        <w:pStyle w:val="vinetas"/>
      </w:pPr>
      <w:r>
        <w:t>Bebidas con las comidas.</w:t>
      </w:r>
    </w:p>
    <w:p w14:paraId="6E474382" w14:textId="77777777" w:rsidR="00F61A6B" w:rsidRPr="007F4802" w:rsidRDefault="00F61A6B" w:rsidP="00F61A6B">
      <w:pPr>
        <w:pStyle w:val="vinetas"/>
      </w:pPr>
      <w:r w:rsidRPr="007F4802">
        <w:t>Propinas.</w:t>
      </w:r>
    </w:p>
    <w:p w14:paraId="3EF5C1CC" w14:textId="77777777" w:rsidR="00F61A6B" w:rsidRPr="007F4802" w:rsidRDefault="00F61A6B" w:rsidP="00F61A6B">
      <w:pPr>
        <w:pStyle w:val="vinetas"/>
      </w:pPr>
      <w:r w:rsidRPr="007F4802">
        <w:t>Traslados donde no esté contemplado.</w:t>
      </w:r>
    </w:p>
    <w:p w14:paraId="7518746A" w14:textId="77777777" w:rsidR="00F61A6B" w:rsidRPr="007F4802" w:rsidRDefault="00F61A6B" w:rsidP="00F61A6B">
      <w:pPr>
        <w:pStyle w:val="vinetas"/>
      </w:pPr>
      <w:r w:rsidRPr="007F4802">
        <w:t>Extras de ningún tipo en los hoteles.</w:t>
      </w:r>
    </w:p>
    <w:p w14:paraId="46370762" w14:textId="77777777" w:rsidR="00F61A6B" w:rsidRPr="007F4802" w:rsidRDefault="00F61A6B" w:rsidP="00F61A6B">
      <w:pPr>
        <w:pStyle w:val="vinetas"/>
      </w:pPr>
      <w:r w:rsidRPr="007F4802">
        <w:t>Excesos de equipaje.</w:t>
      </w:r>
    </w:p>
    <w:p w14:paraId="482324A0" w14:textId="77777777" w:rsidR="00F61A6B" w:rsidRPr="007F4802" w:rsidRDefault="00F61A6B" w:rsidP="00F61A6B">
      <w:pPr>
        <w:pStyle w:val="vinetas"/>
      </w:pPr>
      <w:r w:rsidRPr="007F4802">
        <w:t>Gastos de índole personal.</w:t>
      </w:r>
    </w:p>
    <w:p w14:paraId="0740E8CB" w14:textId="77777777" w:rsidR="00F61A6B" w:rsidRPr="007F4802" w:rsidRDefault="00F61A6B" w:rsidP="00F61A6B">
      <w:pPr>
        <w:pStyle w:val="vinetas"/>
      </w:pPr>
      <w:r w:rsidRPr="007F4802">
        <w:t>Gastos médicos.</w:t>
      </w:r>
    </w:p>
    <w:p w14:paraId="602F5EFA" w14:textId="77777777" w:rsidR="00F61A6B" w:rsidRDefault="00F61A6B" w:rsidP="00F61A6B">
      <w:pPr>
        <w:pStyle w:val="vinetas"/>
      </w:pPr>
      <w:r w:rsidRPr="007F4802">
        <w:t>Tarjeta de asistencia médica.</w:t>
      </w:r>
    </w:p>
    <w:p w14:paraId="145B959C" w14:textId="77777777" w:rsidR="00F61A6B" w:rsidRDefault="00F61A6B" w:rsidP="00F61A6B">
      <w:pPr>
        <w:pStyle w:val="vinetas"/>
      </w:pPr>
      <w:r>
        <w:t>Visa para los Estados Unidos de Norteamérica.</w:t>
      </w:r>
    </w:p>
    <w:p w14:paraId="18872DA8" w14:textId="77777777" w:rsidR="00F61A6B" w:rsidRDefault="00F61A6B" w:rsidP="00772E4C">
      <w:pPr>
        <w:pStyle w:val="itinerario"/>
      </w:pPr>
    </w:p>
    <w:p w14:paraId="14EF5169" w14:textId="77777777" w:rsidR="002C1F46" w:rsidRDefault="002C1F46" w:rsidP="00772E4C">
      <w:pPr>
        <w:pStyle w:val="itinerario"/>
      </w:pPr>
    </w:p>
    <w:p w14:paraId="3C12F8A5" w14:textId="77777777" w:rsidR="00772E4C" w:rsidRDefault="00772E4C" w:rsidP="00772E4C">
      <w:pPr>
        <w:pStyle w:val="itinerario"/>
      </w:pPr>
    </w:p>
    <w:p w14:paraId="3ED9A111" w14:textId="77777777" w:rsidR="00AF2ED6" w:rsidRDefault="00AF2ED6" w:rsidP="00772E4C">
      <w:pPr>
        <w:pStyle w:val="itinerario"/>
      </w:pPr>
    </w:p>
    <w:p w14:paraId="3E04DBD2" w14:textId="77777777" w:rsidR="00AF2ED6" w:rsidRDefault="00AF2ED6" w:rsidP="00772E4C">
      <w:pPr>
        <w:pStyle w:val="itinerario"/>
      </w:pPr>
    </w:p>
    <w:p w14:paraId="5B71EE8A" w14:textId="77777777" w:rsidR="003D2676" w:rsidRDefault="003D2676" w:rsidP="00772E4C">
      <w:pPr>
        <w:pStyle w:val="itinerario"/>
      </w:pPr>
    </w:p>
    <w:p w14:paraId="3CD90983" w14:textId="77777777" w:rsidR="00A21912" w:rsidRDefault="00A21912" w:rsidP="00772E4C">
      <w:pPr>
        <w:pStyle w:val="itinerario"/>
      </w:pPr>
    </w:p>
    <w:p w14:paraId="6D4EB736" w14:textId="77777777" w:rsidR="00A21912" w:rsidRDefault="00A21912" w:rsidP="00772E4C">
      <w:pPr>
        <w:pStyle w:val="itinerario"/>
      </w:pPr>
    </w:p>
    <w:p w14:paraId="7FD77D89" w14:textId="77777777" w:rsidR="00A21912" w:rsidRDefault="00A21912" w:rsidP="00772E4C">
      <w:pPr>
        <w:pStyle w:val="itinerario"/>
      </w:pPr>
    </w:p>
    <w:p w14:paraId="08F7F8C5" w14:textId="77777777" w:rsidR="00A21912" w:rsidRDefault="00A21912" w:rsidP="00772E4C">
      <w:pPr>
        <w:pStyle w:val="itinerario"/>
      </w:pPr>
    </w:p>
    <w:p w14:paraId="2C0F44C1" w14:textId="77777777" w:rsidR="00772E4C" w:rsidRDefault="00772E4C" w:rsidP="00772E4C">
      <w:pPr>
        <w:pStyle w:val="itinerario"/>
      </w:pPr>
    </w:p>
    <w:p w14:paraId="60CD79E0" w14:textId="77777777" w:rsidR="00053A5A" w:rsidRDefault="00053A5A" w:rsidP="00053A5A">
      <w:pPr>
        <w:pStyle w:val="vinetas"/>
        <w:numPr>
          <w:ilvl w:val="0"/>
          <w:numId w:val="0"/>
        </w:numPr>
        <w:ind w:left="714" w:hanging="357"/>
        <w:jc w:val="both"/>
      </w:pPr>
    </w:p>
    <w:tbl>
      <w:tblPr>
        <w:tblStyle w:val="Tablaconcuadrcula"/>
        <w:tblW w:w="0" w:type="auto"/>
        <w:shd w:val="clear" w:color="auto" w:fill="1F3864"/>
        <w:tblLook w:val="04A0" w:firstRow="1" w:lastRow="0" w:firstColumn="1" w:lastColumn="0" w:noHBand="0" w:noVBand="1"/>
      </w:tblPr>
      <w:tblGrid>
        <w:gridCol w:w="10060"/>
      </w:tblGrid>
      <w:tr w:rsidR="00053A5A" w:rsidRPr="00D6643C" w14:paraId="5CF8078F" w14:textId="77777777" w:rsidTr="00DA7BB8">
        <w:tc>
          <w:tcPr>
            <w:tcW w:w="10060" w:type="dxa"/>
            <w:shd w:val="clear" w:color="auto" w:fill="1F3864"/>
          </w:tcPr>
          <w:p w14:paraId="45C97771" w14:textId="77777777" w:rsidR="00053A5A" w:rsidRPr="00D6643C" w:rsidRDefault="00053A5A" w:rsidP="00DA7BB8">
            <w:pPr>
              <w:jc w:val="center"/>
              <w:rPr>
                <w:b/>
                <w:color w:val="FFFFFF" w:themeColor="background1"/>
                <w:sz w:val="40"/>
                <w:szCs w:val="40"/>
              </w:rPr>
            </w:pPr>
            <w:r w:rsidRPr="00D6643C">
              <w:rPr>
                <w:b/>
                <w:color w:val="FFFFFF" w:themeColor="background1"/>
                <w:sz w:val="40"/>
                <w:szCs w:val="40"/>
              </w:rPr>
              <w:lastRenderedPageBreak/>
              <w:t>ITINERARIO</w:t>
            </w:r>
          </w:p>
        </w:tc>
      </w:tr>
    </w:tbl>
    <w:p w14:paraId="3246ED2A" w14:textId="77777777" w:rsidR="00053A5A" w:rsidRPr="007F4802" w:rsidRDefault="00053A5A" w:rsidP="00053A5A">
      <w:pPr>
        <w:pStyle w:val="itinerario"/>
      </w:pPr>
    </w:p>
    <w:p w14:paraId="66053388" w14:textId="77777777" w:rsidR="00316225" w:rsidRPr="00BC2713" w:rsidRDefault="00E51AC0" w:rsidP="00316225">
      <w:pPr>
        <w:pStyle w:val="dias"/>
        <w:rPr>
          <w:color w:val="1F3864"/>
          <w:sz w:val="28"/>
          <w:szCs w:val="28"/>
          <w:lang w:val="en-US"/>
        </w:rPr>
      </w:pPr>
      <w:r w:rsidRPr="00BC2713">
        <w:rPr>
          <w:caps w:val="0"/>
          <w:color w:val="1F3864"/>
          <w:sz w:val="28"/>
          <w:szCs w:val="28"/>
          <w:lang w:val="en-US"/>
        </w:rPr>
        <w:t xml:space="preserve">DÍA </w:t>
      </w:r>
      <w:r>
        <w:rPr>
          <w:caps w:val="0"/>
          <w:color w:val="1F3864"/>
          <w:sz w:val="28"/>
          <w:szCs w:val="28"/>
          <w:lang w:val="en-US"/>
        </w:rPr>
        <w:t>1</w:t>
      </w:r>
      <w:r w:rsidRPr="00BC2713">
        <w:rPr>
          <w:caps w:val="0"/>
          <w:color w:val="1F3864"/>
          <w:sz w:val="28"/>
          <w:szCs w:val="28"/>
          <w:lang w:val="en-US"/>
        </w:rPr>
        <w:tab/>
      </w:r>
      <w:r w:rsidRPr="00BC2713">
        <w:rPr>
          <w:caps w:val="0"/>
          <w:color w:val="1F3864"/>
          <w:sz w:val="28"/>
          <w:szCs w:val="28"/>
          <w:lang w:val="en-US"/>
        </w:rPr>
        <w:tab/>
        <w:t>VIERNES</w:t>
      </w:r>
      <w:r w:rsidRPr="00BC2713">
        <w:rPr>
          <w:caps w:val="0"/>
          <w:color w:val="1F3864"/>
          <w:sz w:val="28"/>
          <w:szCs w:val="28"/>
          <w:lang w:val="en-US"/>
        </w:rPr>
        <w:tab/>
      </w:r>
      <w:r w:rsidRPr="00BC2713">
        <w:rPr>
          <w:caps w:val="0"/>
          <w:color w:val="1F3864"/>
          <w:sz w:val="28"/>
          <w:szCs w:val="28"/>
          <w:lang w:val="en-US"/>
        </w:rPr>
        <w:tab/>
        <w:t>NEW YORK – FILADELFIA – WASHINGTON</w:t>
      </w:r>
    </w:p>
    <w:p w14:paraId="7096C8FC" w14:textId="01B5E4E7" w:rsidR="00793179" w:rsidRDefault="00BC2713" w:rsidP="00793179">
      <w:pPr>
        <w:pStyle w:val="itinerario"/>
      </w:pPr>
      <w:r w:rsidRPr="002E65AF">
        <w:rPr>
          <w:rFonts w:eastAsia="Times New Roman"/>
        </w:rPr>
        <w:t xml:space="preserve">Presentación en el lobby del hotel seleccionado a la hora indicada. </w:t>
      </w:r>
      <w:r w:rsidR="00316225">
        <w:t xml:space="preserve">Salida hacia Filadelfia, </w:t>
      </w:r>
      <w:r w:rsidR="00793179" w:rsidRPr="00793179">
        <w:t>ciudad donde trece colonias</w:t>
      </w:r>
      <w:r w:rsidR="00793179">
        <w:t xml:space="preserve"> declararon la independencia de Inglaterra y formaron los Estados Unidos. Visita de la ciudad con breves paradas para fotografías pasando por el Salón de la Independencia, la Campana de la Libertad, la Alcaldía, la Avenida Benjamín Franklin y las famosas escaleras del Museo de Arte. Posteriormente salida hacia Washington DC. Llegada y a</w:t>
      </w:r>
      <w:r w:rsidR="00793179" w:rsidRPr="00D60D36">
        <w:t>lojamiento en el hotel.</w:t>
      </w:r>
    </w:p>
    <w:p w14:paraId="63A970EB" w14:textId="77777777" w:rsidR="00316225" w:rsidRPr="00793179" w:rsidRDefault="00E51AC0" w:rsidP="00316225">
      <w:pPr>
        <w:pStyle w:val="dias"/>
        <w:rPr>
          <w:sz w:val="28"/>
          <w:szCs w:val="28"/>
        </w:rPr>
      </w:pPr>
      <w:r w:rsidRPr="00793179">
        <w:rPr>
          <w:caps w:val="0"/>
          <w:color w:val="1F3864"/>
          <w:sz w:val="28"/>
          <w:szCs w:val="28"/>
        </w:rPr>
        <w:t xml:space="preserve">DÍA </w:t>
      </w:r>
      <w:r>
        <w:rPr>
          <w:caps w:val="0"/>
          <w:color w:val="1F3864"/>
          <w:sz w:val="28"/>
          <w:szCs w:val="28"/>
        </w:rPr>
        <w:t>2</w:t>
      </w:r>
      <w:r w:rsidRPr="00793179">
        <w:rPr>
          <w:caps w:val="0"/>
          <w:color w:val="1F3864"/>
          <w:sz w:val="28"/>
          <w:szCs w:val="28"/>
        </w:rPr>
        <w:tab/>
      </w:r>
      <w:r>
        <w:rPr>
          <w:caps w:val="0"/>
          <w:color w:val="1F3864"/>
          <w:sz w:val="28"/>
          <w:szCs w:val="28"/>
        </w:rPr>
        <w:tab/>
      </w:r>
      <w:r w:rsidRPr="00793179">
        <w:rPr>
          <w:caps w:val="0"/>
          <w:color w:val="1F3864"/>
          <w:sz w:val="28"/>
          <w:szCs w:val="28"/>
        </w:rPr>
        <w:t>SÁBADO</w:t>
      </w:r>
      <w:r w:rsidRPr="00793179">
        <w:rPr>
          <w:caps w:val="0"/>
          <w:color w:val="1F3864"/>
          <w:sz w:val="28"/>
          <w:szCs w:val="28"/>
        </w:rPr>
        <w:tab/>
      </w:r>
      <w:r>
        <w:rPr>
          <w:caps w:val="0"/>
          <w:color w:val="1F3864"/>
          <w:sz w:val="28"/>
          <w:szCs w:val="28"/>
        </w:rPr>
        <w:tab/>
      </w:r>
      <w:r w:rsidRPr="00793179">
        <w:rPr>
          <w:caps w:val="0"/>
          <w:color w:val="1F3864"/>
          <w:sz w:val="28"/>
          <w:szCs w:val="28"/>
        </w:rPr>
        <w:t>WASHINGTON</w:t>
      </w:r>
    </w:p>
    <w:p w14:paraId="765DCD7F" w14:textId="77777777" w:rsidR="00316225" w:rsidRDefault="00316225" w:rsidP="00316225">
      <w:pPr>
        <w:pStyle w:val="itinerario"/>
      </w:pPr>
      <w:r>
        <w:t xml:space="preserve">Desayuno americano en el hotel. </w:t>
      </w:r>
      <w:r w:rsidR="00793179">
        <w:t>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07A17115" w14:textId="77777777" w:rsidR="00316225" w:rsidRPr="00793179" w:rsidRDefault="00E51AC0" w:rsidP="00316225">
      <w:pPr>
        <w:pStyle w:val="dias"/>
        <w:rPr>
          <w:color w:val="1F3864"/>
          <w:sz w:val="28"/>
          <w:szCs w:val="28"/>
        </w:rPr>
      </w:pPr>
      <w:r w:rsidRPr="00793179">
        <w:rPr>
          <w:caps w:val="0"/>
          <w:color w:val="1F3864"/>
          <w:sz w:val="28"/>
          <w:szCs w:val="28"/>
        </w:rPr>
        <w:t xml:space="preserve">DÍA </w:t>
      </w:r>
      <w:r>
        <w:rPr>
          <w:caps w:val="0"/>
          <w:color w:val="1F3864"/>
          <w:sz w:val="28"/>
          <w:szCs w:val="28"/>
        </w:rPr>
        <w:t>3</w:t>
      </w:r>
      <w:r w:rsidRPr="00793179">
        <w:rPr>
          <w:caps w:val="0"/>
          <w:color w:val="1F3864"/>
          <w:sz w:val="28"/>
          <w:szCs w:val="28"/>
        </w:rPr>
        <w:tab/>
      </w:r>
      <w:r>
        <w:rPr>
          <w:caps w:val="0"/>
          <w:color w:val="1F3864"/>
          <w:sz w:val="28"/>
          <w:szCs w:val="28"/>
        </w:rPr>
        <w:tab/>
      </w:r>
      <w:r w:rsidRPr="00793179">
        <w:rPr>
          <w:caps w:val="0"/>
          <w:color w:val="1F3864"/>
          <w:sz w:val="28"/>
          <w:szCs w:val="28"/>
        </w:rPr>
        <w:t>DOMINGO</w:t>
      </w:r>
      <w:r w:rsidRPr="00793179">
        <w:rPr>
          <w:caps w:val="0"/>
          <w:color w:val="1F3864"/>
          <w:sz w:val="28"/>
          <w:szCs w:val="28"/>
        </w:rPr>
        <w:tab/>
      </w:r>
      <w:r>
        <w:rPr>
          <w:caps w:val="0"/>
          <w:color w:val="1F3864"/>
          <w:sz w:val="28"/>
          <w:szCs w:val="28"/>
        </w:rPr>
        <w:tab/>
      </w:r>
      <w:r w:rsidRPr="00793179">
        <w:rPr>
          <w:caps w:val="0"/>
          <w:color w:val="1F3864"/>
          <w:sz w:val="28"/>
          <w:szCs w:val="28"/>
        </w:rPr>
        <w:t>WASHINGTON – CATARATAS DEL NIÁGARA</w:t>
      </w:r>
    </w:p>
    <w:p w14:paraId="577BF47D" w14:textId="77777777" w:rsidR="00316225" w:rsidRDefault="00316225" w:rsidP="00316225">
      <w:pPr>
        <w:pStyle w:val="itinerario"/>
      </w:pPr>
      <w:r>
        <w:t xml:space="preserve">Desayuno americano en el hotel. </w:t>
      </w:r>
      <w:r w:rsidR="00793179">
        <w:t>Salida hacia las Cataratas del Niagara, pasando por los estados de Maryland y Pennsylvania, atravesando la pintoresca región de los Montes Apalaches. Breves paradas para descanso. Dependiendo de la temporada realizaremos el paseo del barco Maid of the Mist (</w:t>
      </w:r>
      <w:r w:rsidR="00793179" w:rsidRPr="00CD4E23">
        <w:rPr>
          <w:b/>
          <w:color w:val="1F3864"/>
        </w:rPr>
        <w:t xml:space="preserve">sujeto a operación entre mayo y octubre aproximadamente), </w:t>
      </w:r>
      <w:r w:rsidR="00793179">
        <w:t>en este día o al día siguiente. Alojamiento en el hotel.</w:t>
      </w:r>
    </w:p>
    <w:p w14:paraId="495F52A6" w14:textId="77777777" w:rsidR="00316225" w:rsidRDefault="00316225" w:rsidP="00316225">
      <w:pPr>
        <w:pStyle w:val="itinerario"/>
      </w:pPr>
    </w:p>
    <w:p w14:paraId="68F29214" w14:textId="77777777" w:rsidR="00316225" w:rsidRDefault="00316225" w:rsidP="00316225">
      <w:pPr>
        <w:pStyle w:val="itinerario"/>
      </w:pPr>
      <w:r w:rsidRPr="00793179">
        <w:rPr>
          <w:b/>
          <w:color w:val="1F3864"/>
        </w:rPr>
        <w:t>Nota:</w:t>
      </w:r>
      <w:r w:rsidRPr="00793179">
        <w:rPr>
          <w:color w:val="1F3864"/>
        </w:rPr>
        <w:t xml:space="preserve"> </w:t>
      </w:r>
      <w:r w:rsidRPr="00316225">
        <w:t>Los pasajeros</w:t>
      </w:r>
      <w:r>
        <w:t xml:space="preserve"> </w:t>
      </w:r>
      <w:r w:rsidRPr="00316225">
        <w:t xml:space="preserve">con documentos necesarios para ingresar al Canadá, </w:t>
      </w:r>
      <w:r>
        <w:t>si lo</w:t>
      </w:r>
      <w:r w:rsidR="00742BC3">
        <w:t xml:space="preserve"> desea</w:t>
      </w:r>
      <w:r>
        <w:t xml:space="preserve">n, pueden pasar por su cuenta a las Cataratas del lado canadiense, recibiendo previa información del guía de lo que pueden hacer allí. </w:t>
      </w:r>
    </w:p>
    <w:p w14:paraId="3CDAF90F" w14:textId="16144BE4" w:rsidR="00316225" w:rsidRPr="00793179" w:rsidRDefault="00E51AC0" w:rsidP="00316225">
      <w:pPr>
        <w:pStyle w:val="dias"/>
        <w:rPr>
          <w:color w:val="1F3864"/>
          <w:sz w:val="28"/>
          <w:szCs w:val="28"/>
        </w:rPr>
      </w:pPr>
      <w:r w:rsidRPr="00793179">
        <w:rPr>
          <w:caps w:val="0"/>
          <w:color w:val="1F3864"/>
          <w:sz w:val="28"/>
          <w:szCs w:val="28"/>
        </w:rPr>
        <w:t xml:space="preserve">DÍA </w:t>
      </w:r>
      <w:r>
        <w:rPr>
          <w:caps w:val="0"/>
          <w:color w:val="1F3864"/>
          <w:sz w:val="28"/>
          <w:szCs w:val="28"/>
        </w:rPr>
        <w:t>4</w:t>
      </w:r>
      <w:r w:rsidRPr="00793179">
        <w:rPr>
          <w:caps w:val="0"/>
          <w:color w:val="1F3864"/>
          <w:sz w:val="28"/>
          <w:szCs w:val="28"/>
        </w:rPr>
        <w:tab/>
      </w:r>
      <w:r>
        <w:rPr>
          <w:caps w:val="0"/>
          <w:color w:val="1F3864"/>
          <w:sz w:val="28"/>
          <w:szCs w:val="28"/>
        </w:rPr>
        <w:tab/>
      </w:r>
      <w:r w:rsidRPr="00793179">
        <w:rPr>
          <w:caps w:val="0"/>
          <w:color w:val="1F3864"/>
          <w:sz w:val="28"/>
          <w:szCs w:val="28"/>
        </w:rPr>
        <w:t>LUNES</w:t>
      </w:r>
      <w:r w:rsidRPr="00793179">
        <w:rPr>
          <w:caps w:val="0"/>
          <w:color w:val="1F3864"/>
          <w:sz w:val="28"/>
          <w:szCs w:val="28"/>
        </w:rPr>
        <w:tab/>
      </w:r>
      <w:r w:rsidRPr="00793179">
        <w:rPr>
          <w:caps w:val="0"/>
          <w:color w:val="1F3864"/>
          <w:sz w:val="28"/>
          <w:szCs w:val="28"/>
        </w:rPr>
        <w:tab/>
        <w:t>CATARATAS DEL NIÁGARA – BOSTON</w:t>
      </w:r>
    </w:p>
    <w:p w14:paraId="37918E97" w14:textId="77777777" w:rsidR="00742BC3" w:rsidRDefault="00316225" w:rsidP="00742BC3">
      <w:pPr>
        <w:pStyle w:val="itinerario"/>
      </w:pPr>
      <w:r>
        <w:t xml:space="preserve">Desayuno americano en el hotel. </w:t>
      </w:r>
      <w:r w:rsidR="00793179">
        <w:t>Visita a la región de Niágara del lado estadounidense pasando por los rápidos del Niagara, el remolino, las plantas hidroeléctricas, y el lago Ontario. Luego partiremos rumbo a Boston atravesando los estados de New York y Massachusetts. Breves paradas para descanso</w:t>
      </w:r>
      <w:r w:rsidR="00B80AEB">
        <w:t xml:space="preserve">. </w:t>
      </w:r>
      <w:r w:rsidR="00742BC3">
        <w:t>Alojamiento en el hotel.</w:t>
      </w:r>
    </w:p>
    <w:p w14:paraId="6617FE09" w14:textId="77777777" w:rsidR="00EB44F6" w:rsidRPr="002C1F46" w:rsidRDefault="00E51AC0" w:rsidP="005106D9">
      <w:pPr>
        <w:pStyle w:val="dias"/>
        <w:rPr>
          <w:color w:val="1F3864"/>
          <w:sz w:val="28"/>
          <w:szCs w:val="28"/>
        </w:rPr>
      </w:pPr>
      <w:r w:rsidRPr="002C1F46">
        <w:rPr>
          <w:caps w:val="0"/>
          <w:color w:val="1F3864"/>
          <w:sz w:val="28"/>
          <w:szCs w:val="28"/>
        </w:rPr>
        <w:t xml:space="preserve">DÍA </w:t>
      </w:r>
      <w:r>
        <w:rPr>
          <w:caps w:val="0"/>
          <w:color w:val="1F3864"/>
          <w:sz w:val="28"/>
          <w:szCs w:val="28"/>
        </w:rPr>
        <w:t>5</w:t>
      </w:r>
      <w:r w:rsidRPr="002C1F46">
        <w:rPr>
          <w:caps w:val="0"/>
          <w:color w:val="1F3864"/>
          <w:sz w:val="28"/>
          <w:szCs w:val="28"/>
        </w:rPr>
        <w:tab/>
      </w:r>
      <w:r w:rsidRPr="002C1F46">
        <w:rPr>
          <w:caps w:val="0"/>
          <w:color w:val="1F3864"/>
          <w:sz w:val="28"/>
          <w:szCs w:val="28"/>
        </w:rPr>
        <w:tab/>
        <w:t>MARTES</w:t>
      </w:r>
      <w:r w:rsidRPr="002C1F46">
        <w:rPr>
          <w:caps w:val="0"/>
          <w:color w:val="1F3864"/>
          <w:sz w:val="28"/>
          <w:szCs w:val="28"/>
        </w:rPr>
        <w:tab/>
      </w:r>
      <w:r>
        <w:rPr>
          <w:caps w:val="0"/>
          <w:color w:val="1F3864"/>
          <w:sz w:val="28"/>
          <w:szCs w:val="28"/>
        </w:rPr>
        <w:tab/>
      </w:r>
      <w:r w:rsidRPr="002C1F46">
        <w:rPr>
          <w:caps w:val="0"/>
          <w:color w:val="1F3864"/>
          <w:sz w:val="28"/>
          <w:szCs w:val="28"/>
        </w:rPr>
        <w:t>BOSTON</w:t>
      </w:r>
    </w:p>
    <w:p w14:paraId="41798E8A" w14:textId="1FA61518" w:rsidR="00EB44F6" w:rsidRDefault="005F1C32" w:rsidP="00EB44F6">
      <w:pPr>
        <w:pStyle w:val="itinerario"/>
      </w:pPr>
      <w:r>
        <w:t xml:space="preserve">Desayuno americano en el hotel. </w:t>
      </w:r>
      <w:r w:rsidR="005106D9">
        <w:t xml:space="preserve">Visita panorámica de </w:t>
      </w:r>
      <w:r w:rsidR="00EB44F6">
        <w:t xml:space="preserve">Boston, </w:t>
      </w:r>
      <w:r w:rsidR="002C1F46">
        <w:t xml:space="preserve">incluyendo la Universidad de Harvard, el Instituto Tecnológico de Massachusetts (M.I.T), la Iglesia Trinity, el barrio de Beacon Hill, el parque Boston Common, y el Mercado Quincy. Tarde libre. </w:t>
      </w:r>
      <w:r w:rsidR="00EB44F6" w:rsidRPr="00EB44F6">
        <w:t>Alojamiento en el hotel.</w:t>
      </w:r>
    </w:p>
    <w:p w14:paraId="6F5E13DB" w14:textId="77777777" w:rsidR="00EB44F6" w:rsidRPr="002C1F46" w:rsidRDefault="00E51AC0" w:rsidP="005106D9">
      <w:pPr>
        <w:pStyle w:val="dias"/>
        <w:rPr>
          <w:color w:val="1F3864"/>
          <w:sz w:val="28"/>
          <w:szCs w:val="28"/>
        </w:rPr>
      </w:pPr>
      <w:r w:rsidRPr="002C1F46">
        <w:rPr>
          <w:caps w:val="0"/>
          <w:color w:val="1F3864"/>
          <w:sz w:val="28"/>
          <w:szCs w:val="28"/>
        </w:rPr>
        <w:t xml:space="preserve">DÍA </w:t>
      </w:r>
      <w:r>
        <w:rPr>
          <w:caps w:val="0"/>
          <w:color w:val="1F3864"/>
          <w:sz w:val="28"/>
          <w:szCs w:val="28"/>
        </w:rPr>
        <w:t>6</w:t>
      </w:r>
      <w:r w:rsidRPr="002C1F46">
        <w:rPr>
          <w:caps w:val="0"/>
          <w:color w:val="1F3864"/>
          <w:sz w:val="28"/>
          <w:szCs w:val="28"/>
        </w:rPr>
        <w:tab/>
      </w:r>
      <w:r>
        <w:rPr>
          <w:caps w:val="0"/>
          <w:color w:val="1F3864"/>
          <w:sz w:val="28"/>
          <w:szCs w:val="28"/>
        </w:rPr>
        <w:tab/>
      </w:r>
      <w:r w:rsidRPr="002C1F46">
        <w:rPr>
          <w:caps w:val="0"/>
          <w:color w:val="1F3864"/>
          <w:sz w:val="28"/>
          <w:szCs w:val="28"/>
        </w:rPr>
        <w:t>MIÉRCOLES</w:t>
      </w:r>
      <w:r w:rsidRPr="002C1F46">
        <w:rPr>
          <w:caps w:val="0"/>
          <w:color w:val="1F3864"/>
          <w:sz w:val="28"/>
          <w:szCs w:val="28"/>
        </w:rPr>
        <w:tab/>
      </w:r>
      <w:r>
        <w:rPr>
          <w:caps w:val="0"/>
          <w:color w:val="1F3864"/>
          <w:sz w:val="28"/>
          <w:szCs w:val="28"/>
        </w:rPr>
        <w:tab/>
      </w:r>
      <w:r w:rsidRPr="002C1F46">
        <w:rPr>
          <w:caps w:val="0"/>
          <w:color w:val="1F3864"/>
          <w:sz w:val="28"/>
          <w:szCs w:val="28"/>
        </w:rPr>
        <w:t>BOSTON – NEWPORT – NUEVA YORK</w:t>
      </w:r>
    </w:p>
    <w:p w14:paraId="072C9C97" w14:textId="732DF8CD" w:rsidR="00EB44F6" w:rsidRDefault="005F1C32" w:rsidP="00EB44F6">
      <w:pPr>
        <w:pStyle w:val="itinerario"/>
        <w:rPr>
          <w:lang w:val="es-ES"/>
        </w:rPr>
      </w:pPr>
      <w:r>
        <w:t xml:space="preserve">Desayuno americano en el hotel. </w:t>
      </w:r>
      <w:r w:rsidR="002C1F46">
        <w:t xml:space="preserve">Salida hacia el encantador puerto de Newport, donde se pasará por las hermosas mansiones de los millonarios del 1900. Posteriormente salida hacia New York. </w:t>
      </w:r>
      <w:r w:rsidR="00E51AC0">
        <w:rPr>
          <w:lang w:val="es-ES"/>
        </w:rPr>
        <w:t>Llegada al atardecer.</w:t>
      </w:r>
    </w:p>
    <w:p w14:paraId="55801336" w14:textId="77777777" w:rsidR="003051ED" w:rsidRPr="002C1F46" w:rsidRDefault="003051ED" w:rsidP="003051ED">
      <w:pPr>
        <w:pStyle w:val="dias"/>
        <w:rPr>
          <w:color w:val="1F3864"/>
          <w:sz w:val="28"/>
          <w:szCs w:val="28"/>
        </w:rPr>
      </w:pPr>
      <w:r w:rsidRPr="002C1F46">
        <w:rPr>
          <w:color w:val="1F3864"/>
          <w:sz w:val="28"/>
          <w:szCs w:val="28"/>
        </w:rPr>
        <w:t>FIN DE LOS SERVICIOS</w:t>
      </w:r>
    </w:p>
    <w:p w14:paraId="2D6DEDF6" w14:textId="77777777" w:rsidR="003051ED" w:rsidRDefault="003051ED" w:rsidP="00F45E33">
      <w:pPr>
        <w:pStyle w:val="itinerario"/>
      </w:pPr>
    </w:p>
    <w:p w14:paraId="6D4ECD0F" w14:textId="77777777" w:rsidR="00BC2713" w:rsidRDefault="00BC2713" w:rsidP="00F45E33">
      <w:pPr>
        <w:pStyle w:val="itinerario"/>
      </w:pPr>
    </w:p>
    <w:p w14:paraId="031D985D" w14:textId="77777777" w:rsidR="00E51AC0" w:rsidRDefault="00E51AC0" w:rsidP="00F45E33">
      <w:pPr>
        <w:pStyle w:val="itinerario"/>
      </w:pPr>
    </w:p>
    <w:p w14:paraId="216AC815" w14:textId="77777777" w:rsidR="00E51AC0" w:rsidRDefault="00E51AC0" w:rsidP="00F45E33">
      <w:pPr>
        <w:pStyle w:val="itinerario"/>
      </w:pPr>
    </w:p>
    <w:p w14:paraId="188A8C20" w14:textId="77777777" w:rsidR="00BC2713" w:rsidRPr="000640D8" w:rsidRDefault="00BC2713" w:rsidP="00BC2713">
      <w:pPr>
        <w:pStyle w:val="dias"/>
        <w:rPr>
          <w:color w:val="1F3864"/>
          <w:sz w:val="28"/>
          <w:szCs w:val="28"/>
        </w:rPr>
      </w:pPr>
      <w:r w:rsidRPr="000640D8">
        <w:rPr>
          <w:caps w:val="0"/>
          <w:color w:val="1F3864"/>
          <w:sz w:val="28"/>
          <w:szCs w:val="28"/>
        </w:rPr>
        <w:lastRenderedPageBreak/>
        <w:t>PUNTOS DE RECOGIDA O INICIO EN LA CIUDAD DE NUEVA YORK</w:t>
      </w:r>
    </w:p>
    <w:p w14:paraId="162E5E7A" w14:textId="77777777" w:rsidR="00BC2713" w:rsidRDefault="00BC2713" w:rsidP="00BC2713">
      <w:pPr>
        <w:pStyle w:val="itinerario"/>
        <w:rPr>
          <w:lang w:val="es-ES"/>
        </w:rPr>
      </w:pPr>
    </w:p>
    <w:tbl>
      <w:tblPr>
        <w:tblStyle w:val="Tablaconcuadrcula"/>
        <w:tblW w:w="0" w:type="auto"/>
        <w:tblLook w:val="04A0" w:firstRow="1" w:lastRow="0" w:firstColumn="1" w:lastColumn="0" w:noHBand="0" w:noVBand="1"/>
      </w:tblPr>
      <w:tblGrid>
        <w:gridCol w:w="2547"/>
        <w:gridCol w:w="4111"/>
        <w:gridCol w:w="3392"/>
      </w:tblGrid>
      <w:tr w:rsidR="00BC2713" w14:paraId="6D5A0087" w14:textId="77777777" w:rsidTr="0041699C">
        <w:tc>
          <w:tcPr>
            <w:tcW w:w="2547" w:type="dxa"/>
            <w:shd w:val="clear" w:color="auto" w:fill="1F3864"/>
            <w:vAlign w:val="center"/>
          </w:tcPr>
          <w:p w14:paraId="0BEB204D" w14:textId="77777777" w:rsidR="00BC2713" w:rsidRPr="000640D8" w:rsidRDefault="00BC2713" w:rsidP="0041699C">
            <w:pPr>
              <w:jc w:val="center"/>
              <w:rPr>
                <w:b/>
                <w:color w:val="FFFFFF" w:themeColor="background1"/>
                <w:sz w:val="28"/>
                <w:szCs w:val="28"/>
              </w:rPr>
            </w:pPr>
            <w:r w:rsidRPr="000640D8">
              <w:rPr>
                <w:b/>
                <w:color w:val="FFFFFF" w:themeColor="background1"/>
                <w:sz w:val="28"/>
                <w:szCs w:val="28"/>
              </w:rPr>
              <w:t>Hora</w:t>
            </w:r>
          </w:p>
        </w:tc>
        <w:tc>
          <w:tcPr>
            <w:tcW w:w="4111" w:type="dxa"/>
            <w:shd w:val="clear" w:color="auto" w:fill="1F3864"/>
            <w:vAlign w:val="center"/>
          </w:tcPr>
          <w:p w14:paraId="5642E35E" w14:textId="77777777" w:rsidR="00BC2713" w:rsidRPr="000640D8" w:rsidRDefault="00BC2713" w:rsidP="0041699C">
            <w:pPr>
              <w:jc w:val="center"/>
              <w:rPr>
                <w:b/>
                <w:color w:val="FFFFFF" w:themeColor="background1"/>
                <w:sz w:val="28"/>
                <w:szCs w:val="28"/>
              </w:rPr>
            </w:pPr>
            <w:r w:rsidRPr="000640D8">
              <w:rPr>
                <w:b/>
                <w:color w:val="FFFFFF" w:themeColor="background1"/>
                <w:sz w:val="28"/>
                <w:szCs w:val="28"/>
              </w:rPr>
              <w:t>Hotel</w:t>
            </w:r>
          </w:p>
        </w:tc>
        <w:tc>
          <w:tcPr>
            <w:tcW w:w="3392" w:type="dxa"/>
            <w:shd w:val="clear" w:color="auto" w:fill="1F3864"/>
            <w:vAlign w:val="center"/>
          </w:tcPr>
          <w:p w14:paraId="5F196C3B" w14:textId="77777777" w:rsidR="00BC2713" w:rsidRPr="000640D8" w:rsidRDefault="00BC2713" w:rsidP="0041699C">
            <w:pPr>
              <w:jc w:val="center"/>
              <w:rPr>
                <w:b/>
                <w:color w:val="FFFFFF" w:themeColor="background1"/>
                <w:sz w:val="28"/>
                <w:szCs w:val="28"/>
              </w:rPr>
            </w:pPr>
            <w:r w:rsidRPr="000640D8">
              <w:rPr>
                <w:b/>
                <w:color w:val="FFFFFF" w:themeColor="background1"/>
                <w:sz w:val="28"/>
                <w:szCs w:val="28"/>
              </w:rPr>
              <w:t>Dirección</w:t>
            </w:r>
          </w:p>
        </w:tc>
      </w:tr>
      <w:tr w:rsidR="00BC2713" w:rsidRPr="000A11BA" w14:paraId="06B4CE93" w14:textId="77777777" w:rsidTr="0041699C">
        <w:tc>
          <w:tcPr>
            <w:tcW w:w="2547" w:type="dxa"/>
            <w:vAlign w:val="center"/>
          </w:tcPr>
          <w:p w14:paraId="30D326DE" w14:textId="77777777" w:rsidR="00BC2713" w:rsidRDefault="00BC2713" w:rsidP="0041699C">
            <w:pPr>
              <w:jc w:val="center"/>
            </w:pPr>
            <w:r>
              <w:t>6:30</w:t>
            </w:r>
          </w:p>
        </w:tc>
        <w:tc>
          <w:tcPr>
            <w:tcW w:w="4111" w:type="dxa"/>
            <w:vAlign w:val="center"/>
          </w:tcPr>
          <w:p w14:paraId="2F86D4D0" w14:textId="77777777" w:rsidR="00BC2713" w:rsidRPr="00F45E33" w:rsidRDefault="00BC2713" w:rsidP="0041699C">
            <w:pPr>
              <w:jc w:val="center"/>
              <w:rPr>
                <w:lang w:val="en-US"/>
              </w:rPr>
            </w:pPr>
            <w:r w:rsidRPr="009F1643">
              <w:rPr>
                <w:lang w:val="en-US"/>
              </w:rPr>
              <w:t>The Westin New York Grand Central Hotel</w:t>
            </w:r>
          </w:p>
        </w:tc>
        <w:tc>
          <w:tcPr>
            <w:tcW w:w="3392" w:type="dxa"/>
            <w:vAlign w:val="center"/>
          </w:tcPr>
          <w:p w14:paraId="629EF1F2" w14:textId="77777777" w:rsidR="00BC2713" w:rsidRPr="00A4287F" w:rsidRDefault="00BC2713" w:rsidP="0041699C">
            <w:pPr>
              <w:jc w:val="center"/>
              <w:rPr>
                <w:lang w:val="en-US"/>
              </w:rPr>
            </w:pPr>
            <w:r w:rsidRPr="009F1643">
              <w:rPr>
                <w:lang w:val="en-US"/>
              </w:rPr>
              <w:t>212 E 42nd St, New York</w:t>
            </w:r>
          </w:p>
        </w:tc>
      </w:tr>
      <w:tr w:rsidR="00BC2713" w:rsidRPr="009F1643" w14:paraId="7B797FA4" w14:textId="77777777" w:rsidTr="0041699C">
        <w:tc>
          <w:tcPr>
            <w:tcW w:w="2547" w:type="dxa"/>
            <w:vAlign w:val="center"/>
          </w:tcPr>
          <w:p w14:paraId="616581F7" w14:textId="77777777" w:rsidR="00BC2713" w:rsidRDefault="00BC2713" w:rsidP="0041699C">
            <w:pPr>
              <w:jc w:val="center"/>
            </w:pPr>
            <w:r>
              <w:t>6:50</w:t>
            </w:r>
          </w:p>
        </w:tc>
        <w:tc>
          <w:tcPr>
            <w:tcW w:w="4111" w:type="dxa"/>
            <w:vAlign w:val="center"/>
          </w:tcPr>
          <w:p w14:paraId="0E37D326" w14:textId="77777777" w:rsidR="00BC2713" w:rsidRPr="00F45E33" w:rsidRDefault="00BC2713" w:rsidP="0041699C">
            <w:pPr>
              <w:jc w:val="center"/>
              <w:rPr>
                <w:lang w:val="en-US"/>
              </w:rPr>
            </w:pPr>
            <w:r w:rsidRPr="009F1643">
              <w:rPr>
                <w:lang w:val="en-US"/>
              </w:rPr>
              <w:t>The Park Central New York Hotel</w:t>
            </w:r>
          </w:p>
        </w:tc>
        <w:tc>
          <w:tcPr>
            <w:tcW w:w="3392" w:type="dxa"/>
            <w:vAlign w:val="center"/>
          </w:tcPr>
          <w:p w14:paraId="0EAC1A4C" w14:textId="77777777" w:rsidR="00BC2713" w:rsidRPr="003F3D41" w:rsidRDefault="00BC2713" w:rsidP="0041699C">
            <w:pPr>
              <w:jc w:val="center"/>
              <w:rPr>
                <w:lang w:val="en-US"/>
              </w:rPr>
            </w:pPr>
            <w:r w:rsidRPr="004D7CC0">
              <w:rPr>
                <w:lang w:val="en-US"/>
              </w:rPr>
              <w:t>870 7th Ave, New York</w:t>
            </w:r>
          </w:p>
        </w:tc>
      </w:tr>
      <w:tr w:rsidR="00BC2713" w:rsidRPr="0043458F" w14:paraId="4F4DF31C" w14:textId="77777777" w:rsidTr="0041699C">
        <w:trPr>
          <w:trHeight w:val="70"/>
        </w:trPr>
        <w:tc>
          <w:tcPr>
            <w:tcW w:w="2547" w:type="dxa"/>
            <w:vAlign w:val="center"/>
          </w:tcPr>
          <w:p w14:paraId="7F22B2F5" w14:textId="77777777" w:rsidR="00BC2713" w:rsidRPr="00F45E33" w:rsidRDefault="00BC2713" w:rsidP="0041699C">
            <w:pPr>
              <w:jc w:val="center"/>
              <w:rPr>
                <w:lang w:val="en-US"/>
              </w:rPr>
            </w:pPr>
            <w:r>
              <w:rPr>
                <w:lang w:val="en-US"/>
              </w:rPr>
              <w:t>7:10</w:t>
            </w:r>
          </w:p>
        </w:tc>
        <w:tc>
          <w:tcPr>
            <w:tcW w:w="4111" w:type="dxa"/>
            <w:vAlign w:val="center"/>
          </w:tcPr>
          <w:p w14:paraId="71384EEC" w14:textId="77777777" w:rsidR="00BC2713" w:rsidRPr="00F45E33" w:rsidRDefault="00BC2713" w:rsidP="0041699C">
            <w:pPr>
              <w:jc w:val="center"/>
              <w:rPr>
                <w:lang w:val="en-US"/>
              </w:rPr>
            </w:pPr>
            <w:r w:rsidRPr="009F1643">
              <w:rPr>
                <w:lang w:val="en-US"/>
              </w:rPr>
              <w:t>The New Yorker, A Wyndham Hotel</w:t>
            </w:r>
          </w:p>
        </w:tc>
        <w:tc>
          <w:tcPr>
            <w:tcW w:w="3392" w:type="dxa"/>
            <w:vAlign w:val="center"/>
          </w:tcPr>
          <w:p w14:paraId="18389F8F" w14:textId="77777777" w:rsidR="00BC2713" w:rsidRPr="00A4287F" w:rsidRDefault="00BC2713" w:rsidP="0041699C">
            <w:pPr>
              <w:jc w:val="center"/>
              <w:rPr>
                <w:lang w:val="en-US"/>
              </w:rPr>
            </w:pPr>
            <w:r w:rsidRPr="009F1643">
              <w:rPr>
                <w:lang w:val="en-US"/>
              </w:rPr>
              <w:t>481 8th Ave, New York</w:t>
            </w:r>
          </w:p>
        </w:tc>
      </w:tr>
    </w:tbl>
    <w:p w14:paraId="7C7461EB" w14:textId="77777777" w:rsidR="00BC2713" w:rsidRPr="002A4666" w:rsidRDefault="00BC2713" w:rsidP="00BC2713">
      <w:pPr>
        <w:pStyle w:val="itinerario"/>
        <w:rPr>
          <w:lang w:val="en-US"/>
        </w:rPr>
      </w:pPr>
    </w:p>
    <w:p w14:paraId="17DD7207" w14:textId="77777777" w:rsidR="00BC2713" w:rsidRPr="005C23D4" w:rsidRDefault="00BC2713" w:rsidP="00BC2713">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256C418C" w14:textId="77777777" w:rsidR="00BC2713" w:rsidRDefault="00BC2713" w:rsidP="00BC2713">
      <w:pPr>
        <w:pStyle w:val="itinerario"/>
        <w:numPr>
          <w:ilvl w:val="0"/>
          <w:numId w:val="25"/>
        </w:numPr>
        <w:rPr>
          <w:lang w:val="es-ES"/>
        </w:rPr>
      </w:pPr>
      <w:r>
        <w:rPr>
          <w:lang w:val="es-ES"/>
        </w:rPr>
        <w:t>Pasajeros que deseen tomar noches pre y post en Nueva York, contamos con sistema de hoteles en línea con confirmación inmediata.</w:t>
      </w:r>
    </w:p>
    <w:p w14:paraId="451B6AE1" w14:textId="77777777" w:rsidR="00BC2713" w:rsidRDefault="00BC2713" w:rsidP="00BC2713">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47E01D78" w14:textId="77777777" w:rsidR="00BC2713" w:rsidRPr="00164525" w:rsidRDefault="00BC2713" w:rsidP="00BC2713">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BD7555D" w14:textId="77777777" w:rsidR="00BC2713" w:rsidRDefault="00BC2713" w:rsidP="00BC2713">
      <w:pPr>
        <w:pStyle w:val="itinerario"/>
        <w:numPr>
          <w:ilvl w:val="0"/>
          <w:numId w:val="25"/>
        </w:numPr>
        <w:rPr>
          <w:lang w:val="es-ES"/>
        </w:rPr>
      </w:pPr>
      <w:r>
        <w:rPr>
          <w:lang w:val="es-ES"/>
        </w:rPr>
        <w:t>Pasajeros que pierdan el circuito por no cumplir con el horario establecido no tiene derecho a ningún reembolso.</w:t>
      </w:r>
    </w:p>
    <w:p w14:paraId="0EF2C9A6" w14:textId="77777777" w:rsidR="00BC2713" w:rsidRDefault="00BC2713" w:rsidP="00BC2713">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132E9855" w14:textId="64579FFF" w:rsidR="00BC2713" w:rsidRDefault="00BC2713" w:rsidP="00F45E33">
      <w:pPr>
        <w:pStyle w:val="itinerario"/>
        <w:rPr>
          <w:lang w:val="es-ES"/>
        </w:rPr>
      </w:pPr>
    </w:p>
    <w:p w14:paraId="10A1EF81" w14:textId="77777777" w:rsidR="000A11BA" w:rsidRPr="00BC2713" w:rsidRDefault="000A11BA" w:rsidP="00F45E33">
      <w:pPr>
        <w:pStyle w:val="itinerario"/>
        <w:rPr>
          <w:lang w:val="es-ES"/>
        </w:rPr>
      </w:pPr>
    </w:p>
    <w:p w14:paraId="7D96C31A" w14:textId="77777777" w:rsidR="00AF2ED6" w:rsidRPr="00964F42" w:rsidRDefault="00AF2ED6" w:rsidP="00AF2ED6">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1BC7AE90" w14:textId="013BBBB7" w:rsidR="00AF2ED6" w:rsidRPr="00964F42" w:rsidRDefault="00AF2ED6" w:rsidP="00AF2ED6">
      <w:pPr>
        <w:spacing w:before="0" w:after="0" w:line="0" w:lineRule="atLeast"/>
        <w:jc w:val="both"/>
        <w:rPr>
          <w:rFonts w:cs="Calibri"/>
          <w:bCs/>
          <w:szCs w:val="22"/>
        </w:rPr>
      </w:pPr>
      <w:r w:rsidRPr="00964F42">
        <w:rPr>
          <w:rFonts w:cs="Calibri"/>
          <w:bCs/>
          <w:szCs w:val="22"/>
        </w:rPr>
        <w:t xml:space="preserve">Vigencia: </w:t>
      </w:r>
      <w:r>
        <w:rPr>
          <w:rFonts w:cs="Calibri"/>
          <w:bCs/>
          <w:szCs w:val="22"/>
        </w:rPr>
        <w:t xml:space="preserve">diciembre de </w:t>
      </w:r>
      <w:r w:rsidR="005B065D">
        <w:rPr>
          <w:rFonts w:cs="Calibri"/>
          <w:bCs/>
          <w:szCs w:val="22"/>
        </w:rPr>
        <w:t>2024</w:t>
      </w:r>
      <w:r w:rsidRPr="00964F42">
        <w:rPr>
          <w:rFonts w:cs="Calibri"/>
          <w:bCs/>
          <w:szCs w:val="22"/>
        </w:rPr>
        <w:t xml:space="preserve">, incluyendo la salida de </w:t>
      </w:r>
      <w:r>
        <w:rPr>
          <w:rFonts w:cs="Calibri"/>
          <w:bCs/>
          <w:szCs w:val="22"/>
        </w:rPr>
        <w:t xml:space="preserve">diciembre </w:t>
      </w:r>
      <w:r w:rsidR="00BC2713">
        <w:rPr>
          <w:rFonts w:cs="Calibri"/>
          <w:bCs/>
          <w:szCs w:val="22"/>
        </w:rPr>
        <w:t>30</w:t>
      </w:r>
      <w:r>
        <w:rPr>
          <w:rFonts w:cs="Calibri"/>
          <w:bCs/>
          <w:szCs w:val="22"/>
        </w:rPr>
        <w:t>.</w:t>
      </w:r>
      <w:r w:rsidRPr="00964F42">
        <w:rPr>
          <w:rFonts w:cs="Calibri"/>
          <w:bCs/>
          <w:szCs w:val="22"/>
        </w:rPr>
        <w:t xml:space="preserve"> Precios base mínimo 2 pasajeros.</w:t>
      </w:r>
    </w:p>
    <w:p w14:paraId="5680965D" w14:textId="77777777" w:rsidR="00AF2ED6" w:rsidRPr="00964F42" w:rsidRDefault="00AF2ED6" w:rsidP="00AF2ED6">
      <w:pPr>
        <w:spacing w:before="0" w:after="0" w:line="0" w:lineRule="atLeast"/>
        <w:jc w:val="both"/>
        <w:rPr>
          <w:rFonts w:cs="Calibri"/>
          <w:sz w:val="28"/>
          <w:szCs w:val="28"/>
        </w:rPr>
      </w:pPr>
      <w:r w:rsidRPr="00964F42">
        <w:rPr>
          <w:rFonts w:cs="Calibri"/>
          <w:szCs w:val="22"/>
        </w:rPr>
        <w:t>La validez de las tarifas publicadas aplica hasta máximo el último día indicado en la vigencia</w:t>
      </w:r>
    </w:p>
    <w:p w14:paraId="1E1555A3" w14:textId="77777777" w:rsidR="00AF2ED6" w:rsidRPr="00964F42" w:rsidRDefault="00AF2ED6" w:rsidP="000A11BA">
      <w:pPr>
        <w:pStyle w:val="itinerario"/>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AF2ED6" w:rsidRPr="00964F42" w14:paraId="66F04CA6" w14:textId="77777777" w:rsidTr="005B065D">
        <w:tc>
          <w:tcPr>
            <w:tcW w:w="1838" w:type="dxa"/>
            <w:shd w:val="clear" w:color="auto" w:fill="1F3864"/>
            <w:vAlign w:val="center"/>
          </w:tcPr>
          <w:p w14:paraId="33831E9D" w14:textId="77777777" w:rsidR="00AF2ED6" w:rsidRPr="00964F42" w:rsidRDefault="00AF2ED6" w:rsidP="00DA7BB8">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483A430D"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7E2B37A4" w14:textId="77777777" w:rsidR="00AF2ED6" w:rsidRPr="00964F42" w:rsidRDefault="00AF2ED6" w:rsidP="00DA7BB8">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5B027A53"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091BA3CA"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04672380"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03C991F0" w14:textId="77777777" w:rsidR="00AF2ED6" w:rsidRPr="00964F42" w:rsidRDefault="00AF2ED6" w:rsidP="00DA7BB8">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AF2ED6" w:rsidRPr="00964F42" w14:paraId="03D3A14A" w14:textId="77777777" w:rsidTr="005B065D">
        <w:tc>
          <w:tcPr>
            <w:tcW w:w="1838" w:type="dxa"/>
            <w:tcBorders>
              <w:bottom w:val="single" w:sz="4" w:space="0" w:color="auto"/>
            </w:tcBorders>
            <w:vAlign w:val="center"/>
          </w:tcPr>
          <w:p w14:paraId="2BB95971" w14:textId="05D57405" w:rsidR="00AF2ED6" w:rsidRPr="00964F42" w:rsidRDefault="005B065D" w:rsidP="00DA7BB8">
            <w:pPr>
              <w:spacing w:line="0" w:lineRule="atLeast"/>
              <w:jc w:val="center"/>
              <w:rPr>
                <w:lang w:val="es-419"/>
              </w:rPr>
            </w:pPr>
            <w:r>
              <w:rPr>
                <w:lang w:val="es-419"/>
              </w:rPr>
              <w:t>Marzo 22</w:t>
            </w:r>
          </w:p>
        </w:tc>
        <w:tc>
          <w:tcPr>
            <w:tcW w:w="1372" w:type="dxa"/>
            <w:tcBorders>
              <w:bottom w:val="single" w:sz="4" w:space="0" w:color="auto"/>
            </w:tcBorders>
            <w:vAlign w:val="center"/>
          </w:tcPr>
          <w:p w14:paraId="00A9156D" w14:textId="3E257F01" w:rsidR="00AF2ED6" w:rsidRPr="00964F42" w:rsidRDefault="005B065D" w:rsidP="00DA7BB8">
            <w:pPr>
              <w:spacing w:line="0" w:lineRule="atLeast"/>
              <w:jc w:val="center"/>
              <w:rPr>
                <w:lang w:val="es-419"/>
              </w:rPr>
            </w:pPr>
            <w:r>
              <w:rPr>
                <w:lang w:val="es-419"/>
              </w:rPr>
              <w:t>1.419</w:t>
            </w:r>
          </w:p>
        </w:tc>
        <w:tc>
          <w:tcPr>
            <w:tcW w:w="1372" w:type="dxa"/>
            <w:tcBorders>
              <w:bottom w:val="single" w:sz="4" w:space="0" w:color="auto"/>
            </w:tcBorders>
            <w:vAlign w:val="center"/>
          </w:tcPr>
          <w:p w14:paraId="71A7B41C" w14:textId="617044AF" w:rsidR="00AF2ED6" w:rsidRPr="00964F42" w:rsidRDefault="005B065D" w:rsidP="00DA7BB8">
            <w:pPr>
              <w:spacing w:line="0" w:lineRule="atLeast"/>
              <w:jc w:val="center"/>
              <w:rPr>
                <w:lang w:val="es-419"/>
              </w:rPr>
            </w:pPr>
            <w:r>
              <w:rPr>
                <w:lang w:val="es-419"/>
              </w:rPr>
              <w:t>1.419</w:t>
            </w:r>
          </w:p>
        </w:tc>
        <w:tc>
          <w:tcPr>
            <w:tcW w:w="1372" w:type="dxa"/>
            <w:tcBorders>
              <w:bottom w:val="single" w:sz="4" w:space="0" w:color="auto"/>
            </w:tcBorders>
            <w:vAlign w:val="center"/>
          </w:tcPr>
          <w:p w14:paraId="49B59B3F" w14:textId="3E13035F" w:rsidR="00AF2ED6" w:rsidRPr="00964F42" w:rsidRDefault="005B065D" w:rsidP="00DA7BB8">
            <w:pPr>
              <w:spacing w:line="0" w:lineRule="atLeast"/>
              <w:jc w:val="center"/>
              <w:rPr>
                <w:lang w:val="es-419"/>
              </w:rPr>
            </w:pPr>
            <w:r>
              <w:rPr>
                <w:lang w:val="es-419"/>
              </w:rPr>
              <w:t>1.259</w:t>
            </w:r>
          </w:p>
        </w:tc>
        <w:tc>
          <w:tcPr>
            <w:tcW w:w="1554" w:type="dxa"/>
            <w:tcBorders>
              <w:bottom w:val="single" w:sz="4" w:space="0" w:color="auto"/>
            </w:tcBorders>
            <w:vAlign w:val="center"/>
          </w:tcPr>
          <w:p w14:paraId="571195AE" w14:textId="4B80F955" w:rsidR="00AF2ED6" w:rsidRPr="00964F42" w:rsidRDefault="005B065D" w:rsidP="00DA7BB8">
            <w:pPr>
              <w:spacing w:line="0" w:lineRule="atLeast"/>
              <w:jc w:val="center"/>
              <w:rPr>
                <w:lang w:val="es-419"/>
              </w:rPr>
            </w:pPr>
            <w:r>
              <w:rPr>
                <w:lang w:val="es-419"/>
              </w:rPr>
              <w:t>1.179</w:t>
            </w:r>
          </w:p>
        </w:tc>
        <w:tc>
          <w:tcPr>
            <w:tcW w:w="1190" w:type="dxa"/>
            <w:tcBorders>
              <w:bottom w:val="single" w:sz="4" w:space="0" w:color="auto"/>
            </w:tcBorders>
            <w:vAlign w:val="center"/>
          </w:tcPr>
          <w:p w14:paraId="58A80D39" w14:textId="0522654F" w:rsidR="00AF2ED6" w:rsidRPr="00964F42" w:rsidRDefault="005B065D" w:rsidP="00DA7BB8">
            <w:pPr>
              <w:spacing w:line="0" w:lineRule="atLeast"/>
              <w:jc w:val="center"/>
              <w:rPr>
                <w:lang w:val="es-419"/>
              </w:rPr>
            </w:pPr>
            <w:r>
              <w:rPr>
                <w:lang w:val="es-419"/>
              </w:rPr>
              <w:t>1.939</w:t>
            </w:r>
          </w:p>
        </w:tc>
        <w:tc>
          <w:tcPr>
            <w:tcW w:w="1372" w:type="dxa"/>
            <w:tcBorders>
              <w:bottom w:val="single" w:sz="4" w:space="0" w:color="auto"/>
            </w:tcBorders>
            <w:vAlign w:val="center"/>
          </w:tcPr>
          <w:p w14:paraId="42103BD1" w14:textId="34F75CC6" w:rsidR="00AF2ED6" w:rsidRPr="00964F42" w:rsidRDefault="005B065D" w:rsidP="00DA7BB8">
            <w:pPr>
              <w:spacing w:line="0" w:lineRule="atLeast"/>
              <w:jc w:val="center"/>
              <w:rPr>
                <w:lang w:val="es-419"/>
              </w:rPr>
            </w:pPr>
            <w:r>
              <w:rPr>
                <w:lang w:val="es-419"/>
              </w:rPr>
              <w:t>899</w:t>
            </w:r>
          </w:p>
        </w:tc>
      </w:tr>
      <w:tr w:rsidR="005B065D" w:rsidRPr="00964F42" w14:paraId="326A921A" w14:textId="77777777" w:rsidTr="005B065D">
        <w:tc>
          <w:tcPr>
            <w:tcW w:w="1838" w:type="dxa"/>
            <w:shd w:val="pct20" w:color="auto" w:fill="auto"/>
            <w:vAlign w:val="center"/>
          </w:tcPr>
          <w:p w14:paraId="68DF379F" w14:textId="2D8B4EA4" w:rsidR="005B065D" w:rsidRPr="00964F42" w:rsidRDefault="005B065D" w:rsidP="005B065D">
            <w:pPr>
              <w:spacing w:line="0" w:lineRule="atLeast"/>
              <w:jc w:val="center"/>
              <w:rPr>
                <w:lang w:val="es-419"/>
              </w:rPr>
            </w:pPr>
            <w:r>
              <w:rPr>
                <w:lang w:val="es-419"/>
              </w:rPr>
              <w:t>Abril 19</w:t>
            </w:r>
          </w:p>
        </w:tc>
        <w:tc>
          <w:tcPr>
            <w:tcW w:w="1372" w:type="dxa"/>
            <w:shd w:val="pct20" w:color="auto" w:fill="auto"/>
            <w:vAlign w:val="center"/>
          </w:tcPr>
          <w:p w14:paraId="5665C140" w14:textId="725E1C4C"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18B3A312" w14:textId="1F7078A9"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3E83B5D1" w14:textId="38D1B859" w:rsidR="005B065D" w:rsidRPr="00964F42" w:rsidRDefault="005B065D" w:rsidP="005B065D">
            <w:pPr>
              <w:spacing w:line="0" w:lineRule="atLeast"/>
              <w:jc w:val="center"/>
              <w:rPr>
                <w:lang w:val="es-419"/>
              </w:rPr>
            </w:pPr>
            <w:r>
              <w:rPr>
                <w:lang w:val="es-419"/>
              </w:rPr>
              <w:t>1.219</w:t>
            </w:r>
          </w:p>
        </w:tc>
        <w:tc>
          <w:tcPr>
            <w:tcW w:w="1554" w:type="dxa"/>
            <w:shd w:val="pct20" w:color="auto" w:fill="auto"/>
            <w:vAlign w:val="center"/>
          </w:tcPr>
          <w:p w14:paraId="5DE2E951" w14:textId="6099F6B6" w:rsidR="005B065D" w:rsidRPr="00964F42" w:rsidRDefault="005B065D" w:rsidP="005B065D">
            <w:pPr>
              <w:spacing w:line="0" w:lineRule="atLeast"/>
              <w:jc w:val="center"/>
              <w:rPr>
                <w:lang w:val="es-419"/>
              </w:rPr>
            </w:pPr>
            <w:r>
              <w:rPr>
                <w:lang w:val="es-419"/>
              </w:rPr>
              <w:t>1.139</w:t>
            </w:r>
          </w:p>
        </w:tc>
        <w:tc>
          <w:tcPr>
            <w:tcW w:w="1190" w:type="dxa"/>
            <w:shd w:val="pct20" w:color="auto" w:fill="auto"/>
            <w:vAlign w:val="center"/>
          </w:tcPr>
          <w:p w14:paraId="651DB2D2" w14:textId="0D9A8FCB" w:rsidR="005B065D" w:rsidRPr="00964F42" w:rsidRDefault="005B065D" w:rsidP="005B065D">
            <w:pPr>
              <w:spacing w:line="0" w:lineRule="atLeast"/>
              <w:jc w:val="center"/>
              <w:rPr>
                <w:lang w:val="es-419"/>
              </w:rPr>
            </w:pPr>
            <w:r>
              <w:rPr>
                <w:lang w:val="es-419"/>
              </w:rPr>
              <w:t>1.899</w:t>
            </w:r>
          </w:p>
        </w:tc>
        <w:tc>
          <w:tcPr>
            <w:tcW w:w="1372" w:type="dxa"/>
            <w:shd w:val="pct20" w:color="auto" w:fill="auto"/>
            <w:vAlign w:val="center"/>
          </w:tcPr>
          <w:p w14:paraId="3F621FCB" w14:textId="7D8B12E5" w:rsidR="005B065D" w:rsidRPr="00964F42" w:rsidRDefault="005B065D" w:rsidP="005B065D">
            <w:pPr>
              <w:spacing w:line="0" w:lineRule="atLeast"/>
              <w:jc w:val="center"/>
              <w:rPr>
                <w:lang w:val="es-419"/>
              </w:rPr>
            </w:pPr>
            <w:r>
              <w:rPr>
                <w:lang w:val="es-419"/>
              </w:rPr>
              <w:t>899</w:t>
            </w:r>
          </w:p>
        </w:tc>
      </w:tr>
      <w:tr w:rsidR="005B065D" w:rsidRPr="00964F42" w14:paraId="42853B16" w14:textId="77777777" w:rsidTr="00362969">
        <w:tc>
          <w:tcPr>
            <w:tcW w:w="1838" w:type="dxa"/>
            <w:tcBorders>
              <w:bottom w:val="single" w:sz="4" w:space="0" w:color="auto"/>
            </w:tcBorders>
            <w:vAlign w:val="center"/>
          </w:tcPr>
          <w:p w14:paraId="3D73C3BD" w14:textId="288F14B4" w:rsidR="005B065D" w:rsidRPr="00964F42" w:rsidRDefault="005B065D" w:rsidP="005B065D">
            <w:pPr>
              <w:spacing w:line="0" w:lineRule="atLeast"/>
              <w:jc w:val="center"/>
              <w:rPr>
                <w:lang w:val="es-419"/>
              </w:rPr>
            </w:pPr>
            <w:r>
              <w:rPr>
                <w:lang w:val="es-419"/>
              </w:rPr>
              <w:t>Mayo 10</w:t>
            </w:r>
          </w:p>
        </w:tc>
        <w:tc>
          <w:tcPr>
            <w:tcW w:w="1372" w:type="dxa"/>
            <w:tcBorders>
              <w:bottom w:val="single" w:sz="4" w:space="0" w:color="auto"/>
            </w:tcBorders>
            <w:vAlign w:val="center"/>
          </w:tcPr>
          <w:p w14:paraId="1D2910C4" w14:textId="6B411D52" w:rsidR="005B065D" w:rsidRPr="00964F42" w:rsidRDefault="005B065D" w:rsidP="005B065D">
            <w:pPr>
              <w:spacing w:line="0" w:lineRule="atLeast"/>
              <w:jc w:val="center"/>
              <w:rPr>
                <w:lang w:val="es-419"/>
              </w:rPr>
            </w:pPr>
            <w:r>
              <w:rPr>
                <w:lang w:val="es-419"/>
              </w:rPr>
              <w:t>1.379</w:t>
            </w:r>
          </w:p>
        </w:tc>
        <w:tc>
          <w:tcPr>
            <w:tcW w:w="1372" w:type="dxa"/>
            <w:tcBorders>
              <w:bottom w:val="single" w:sz="4" w:space="0" w:color="auto"/>
            </w:tcBorders>
            <w:vAlign w:val="center"/>
          </w:tcPr>
          <w:p w14:paraId="4B74E048" w14:textId="3C0EB984" w:rsidR="005B065D" w:rsidRPr="00964F42" w:rsidRDefault="005B065D" w:rsidP="005B065D">
            <w:pPr>
              <w:spacing w:line="0" w:lineRule="atLeast"/>
              <w:jc w:val="center"/>
              <w:rPr>
                <w:lang w:val="es-419"/>
              </w:rPr>
            </w:pPr>
            <w:r>
              <w:rPr>
                <w:lang w:val="es-419"/>
              </w:rPr>
              <w:t>1.379</w:t>
            </w:r>
          </w:p>
        </w:tc>
        <w:tc>
          <w:tcPr>
            <w:tcW w:w="1372" w:type="dxa"/>
            <w:tcBorders>
              <w:bottom w:val="single" w:sz="4" w:space="0" w:color="auto"/>
            </w:tcBorders>
            <w:vAlign w:val="center"/>
          </w:tcPr>
          <w:p w14:paraId="5DCD0305" w14:textId="1BEFD7FE" w:rsidR="005B065D" w:rsidRPr="00964F42" w:rsidRDefault="005B065D" w:rsidP="005B065D">
            <w:pPr>
              <w:spacing w:line="0" w:lineRule="atLeast"/>
              <w:jc w:val="center"/>
              <w:rPr>
                <w:lang w:val="es-419"/>
              </w:rPr>
            </w:pPr>
            <w:r>
              <w:rPr>
                <w:lang w:val="es-419"/>
              </w:rPr>
              <w:t>1.219</w:t>
            </w:r>
          </w:p>
        </w:tc>
        <w:tc>
          <w:tcPr>
            <w:tcW w:w="1554" w:type="dxa"/>
            <w:tcBorders>
              <w:bottom w:val="single" w:sz="4" w:space="0" w:color="auto"/>
            </w:tcBorders>
            <w:vAlign w:val="center"/>
          </w:tcPr>
          <w:p w14:paraId="1CF9C0FE" w14:textId="5B3DF959" w:rsidR="005B065D" w:rsidRPr="00964F42" w:rsidRDefault="005B065D" w:rsidP="005B065D">
            <w:pPr>
              <w:spacing w:line="0" w:lineRule="atLeast"/>
              <w:jc w:val="center"/>
              <w:rPr>
                <w:lang w:val="es-419"/>
              </w:rPr>
            </w:pPr>
            <w:r>
              <w:rPr>
                <w:lang w:val="es-419"/>
              </w:rPr>
              <w:t>1.139</w:t>
            </w:r>
          </w:p>
        </w:tc>
        <w:tc>
          <w:tcPr>
            <w:tcW w:w="1190" w:type="dxa"/>
            <w:tcBorders>
              <w:bottom w:val="single" w:sz="4" w:space="0" w:color="auto"/>
            </w:tcBorders>
            <w:vAlign w:val="center"/>
          </w:tcPr>
          <w:p w14:paraId="346D9283" w14:textId="7393AF82" w:rsidR="005B065D" w:rsidRPr="00964F42" w:rsidRDefault="005B065D" w:rsidP="005B065D">
            <w:pPr>
              <w:spacing w:line="0" w:lineRule="atLeast"/>
              <w:jc w:val="center"/>
              <w:rPr>
                <w:lang w:val="es-419"/>
              </w:rPr>
            </w:pPr>
            <w:r>
              <w:rPr>
                <w:lang w:val="es-419"/>
              </w:rPr>
              <w:t>1.899</w:t>
            </w:r>
          </w:p>
        </w:tc>
        <w:tc>
          <w:tcPr>
            <w:tcW w:w="1372" w:type="dxa"/>
            <w:tcBorders>
              <w:bottom w:val="single" w:sz="4" w:space="0" w:color="auto"/>
            </w:tcBorders>
            <w:vAlign w:val="center"/>
          </w:tcPr>
          <w:p w14:paraId="6A9A74F1" w14:textId="03C108D0" w:rsidR="005B065D" w:rsidRDefault="005B065D" w:rsidP="005B065D">
            <w:pPr>
              <w:jc w:val="center"/>
            </w:pPr>
            <w:r>
              <w:rPr>
                <w:lang w:val="es-419"/>
              </w:rPr>
              <w:t>899</w:t>
            </w:r>
          </w:p>
        </w:tc>
      </w:tr>
      <w:tr w:rsidR="00AF2ED6" w:rsidRPr="00964F42" w14:paraId="594EBDF2" w14:textId="77777777" w:rsidTr="005B065D">
        <w:tc>
          <w:tcPr>
            <w:tcW w:w="1838" w:type="dxa"/>
            <w:shd w:val="pct20" w:color="auto" w:fill="auto"/>
            <w:vAlign w:val="center"/>
          </w:tcPr>
          <w:p w14:paraId="0C38864C" w14:textId="06CFDFB7" w:rsidR="00AF2ED6" w:rsidRDefault="005B065D" w:rsidP="00BC2713">
            <w:pPr>
              <w:spacing w:line="0" w:lineRule="atLeast"/>
              <w:jc w:val="center"/>
              <w:rPr>
                <w:lang w:val="es-419"/>
              </w:rPr>
            </w:pPr>
            <w:r>
              <w:rPr>
                <w:lang w:val="es-419"/>
              </w:rPr>
              <w:t>Mayo 31</w:t>
            </w:r>
          </w:p>
        </w:tc>
        <w:tc>
          <w:tcPr>
            <w:tcW w:w="1372" w:type="dxa"/>
            <w:shd w:val="pct20" w:color="auto" w:fill="auto"/>
            <w:vAlign w:val="center"/>
          </w:tcPr>
          <w:p w14:paraId="6F84DA23" w14:textId="684A0B0A" w:rsidR="00AF2ED6" w:rsidRPr="00964F42" w:rsidRDefault="005B065D" w:rsidP="00AF2ED6">
            <w:pPr>
              <w:spacing w:line="0" w:lineRule="atLeast"/>
              <w:jc w:val="center"/>
              <w:rPr>
                <w:lang w:val="es-419"/>
              </w:rPr>
            </w:pPr>
            <w:r>
              <w:rPr>
                <w:lang w:val="es-419"/>
              </w:rPr>
              <w:t>1.399</w:t>
            </w:r>
          </w:p>
        </w:tc>
        <w:tc>
          <w:tcPr>
            <w:tcW w:w="1372" w:type="dxa"/>
            <w:shd w:val="pct20" w:color="auto" w:fill="auto"/>
            <w:vAlign w:val="center"/>
          </w:tcPr>
          <w:p w14:paraId="56B16A53" w14:textId="12E7F1A0" w:rsidR="00AF2ED6" w:rsidRPr="00964F42" w:rsidRDefault="005B065D" w:rsidP="00AF2ED6">
            <w:pPr>
              <w:spacing w:line="0" w:lineRule="atLeast"/>
              <w:jc w:val="center"/>
              <w:rPr>
                <w:lang w:val="es-419"/>
              </w:rPr>
            </w:pPr>
            <w:r>
              <w:rPr>
                <w:lang w:val="es-419"/>
              </w:rPr>
              <w:t>1.399</w:t>
            </w:r>
          </w:p>
        </w:tc>
        <w:tc>
          <w:tcPr>
            <w:tcW w:w="1372" w:type="dxa"/>
            <w:shd w:val="pct20" w:color="auto" w:fill="auto"/>
            <w:vAlign w:val="center"/>
          </w:tcPr>
          <w:p w14:paraId="6F48C47F" w14:textId="1DE95E9F" w:rsidR="00AF2ED6" w:rsidRPr="00964F42" w:rsidRDefault="005B065D" w:rsidP="00AF2ED6">
            <w:pPr>
              <w:spacing w:line="0" w:lineRule="atLeast"/>
              <w:jc w:val="center"/>
              <w:rPr>
                <w:lang w:val="es-419"/>
              </w:rPr>
            </w:pPr>
            <w:r>
              <w:rPr>
                <w:lang w:val="es-419"/>
              </w:rPr>
              <w:t>1.239</w:t>
            </w:r>
          </w:p>
        </w:tc>
        <w:tc>
          <w:tcPr>
            <w:tcW w:w="1554" w:type="dxa"/>
            <w:shd w:val="pct20" w:color="auto" w:fill="auto"/>
            <w:vAlign w:val="center"/>
          </w:tcPr>
          <w:p w14:paraId="55A72DE0" w14:textId="14F414B8" w:rsidR="00AF2ED6" w:rsidRPr="00964F42" w:rsidRDefault="005B065D" w:rsidP="00AF2ED6">
            <w:pPr>
              <w:spacing w:line="0" w:lineRule="atLeast"/>
              <w:jc w:val="center"/>
              <w:rPr>
                <w:lang w:val="es-419"/>
              </w:rPr>
            </w:pPr>
            <w:r>
              <w:rPr>
                <w:lang w:val="es-419"/>
              </w:rPr>
              <w:t>1.159</w:t>
            </w:r>
          </w:p>
        </w:tc>
        <w:tc>
          <w:tcPr>
            <w:tcW w:w="1190" w:type="dxa"/>
            <w:shd w:val="pct20" w:color="auto" w:fill="auto"/>
            <w:vAlign w:val="center"/>
          </w:tcPr>
          <w:p w14:paraId="0997E064" w14:textId="4F375B18" w:rsidR="00AF2ED6" w:rsidRPr="00964F42" w:rsidRDefault="005B065D" w:rsidP="00AF2ED6">
            <w:pPr>
              <w:spacing w:line="0" w:lineRule="atLeast"/>
              <w:jc w:val="center"/>
              <w:rPr>
                <w:lang w:val="es-419"/>
              </w:rPr>
            </w:pPr>
            <w:r>
              <w:rPr>
                <w:lang w:val="es-419"/>
              </w:rPr>
              <w:t>1.919</w:t>
            </w:r>
          </w:p>
        </w:tc>
        <w:tc>
          <w:tcPr>
            <w:tcW w:w="1372" w:type="dxa"/>
            <w:shd w:val="pct20" w:color="auto" w:fill="auto"/>
          </w:tcPr>
          <w:p w14:paraId="22881307" w14:textId="59E36E17" w:rsidR="00AF2ED6" w:rsidRDefault="005B065D" w:rsidP="00AF2ED6">
            <w:pPr>
              <w:jc w:val="center"/>
            </w:pPr>
            <w:r>
              <w:t>899</w:t>
            </w:r>
          </w:p>
        </w:tc>
      </w:tr>
      <w:tr w:rsidR="005B065D" w:rsidRPr="00964F42" w14:paraId="4035B4B4" w14:textId="77777777" w:rsidTr="005B065D">
        <w:tc>
          <w:tcPr>
            <w:tcW w:w="1838" w:type="dxa"/>
            <w:tcBorders>
              <w:bottom w:val="single" w:sz="4" w:space="0" w:color="auto"/>
            </w:tcBorders>
            <w:vAlign w:val="center"/>
          </w:tcPr>
          <w:p w14:paraId="3CD9D4EA" w14:textId="181DD715" w:rsidR="005B065D" w:rsidRPr="00964F42" w:rsidRDefault="005B065D" w:rsidP="005B065D">
            <w:pPr>
              <w:spacing w:line="0" w:lineRule="atLeast"/>
              <w:jc w:val="center"/>
              <w:rPr>
                <w:lang w:val="es-419"/>
              </w:rPr>
            </w:pPr>
            <w:r>
              <w:rPr>
                <w:lang w:val="es-419"/>
              </w:rPr>
              <w:t xml:space="preserve">Junio 14 – 21 – 28 </w:t>
            </w:r>
          </w:p>
        </w:tc>
        <w:tc>
          <w:tcPr>
            <w:tcW w:w="1372" w:type="dxa"/>
            <w:tcBorders>
              <w:bottom w:val="single" w:sz="4" w:space="0" w:color="auto"/>
            </w:tcBorders>
            <w:vAlign w:val="center"/>
          </w:tcPr>
          <w:p w14:paraId="0BC9F359" w14:textId="4A5B856A" w:rsidR="005B065D" w:rsidRPr="00964F42" w:rsidRDefault="005B065D" w:rsidP="005B065D">
            <w:pPr>
              <w:spacing w:line="0" w:lineRule="atLeast"/>
              <w:jc w:val="center"/>
              <w:rPr>
                <w:lang w:val="es-419"/>
              </w:rPr>
            </w:pPr>
            <w:r>
              <w:rPr>
                <w:lang w:val="es-419"/>
              </w:rPr>
              <w:t>1.399</w:t>
            </w:r>
          </w:p>
        </w:tc>
        <w:tc>
          <w:tcPr>
            <w:tcW w:w="1372" w:type="dxa"/>
            <w:tcBorders>
              <w:bottom w:val="single" w:sz="4" w:space="0" w:color="auto"/>
            </w:tcBorders>
            <w:vAlign w:val="center"/>
          </w:tcPr>
          <w:p w14:paraId="5D8944BE" w14:textId="341A076E" w:rsidR="005B065D" w:rsidRPr="00964F42" w:rsidRDefault="005B065D" w:rsidP="005B065D">
            <w:pPr>
              <w:spacing w:line="0" w:lineRule="atLeast"/>
              <w:jc w:val="center"/>
              <w:rPr>
                <w:lang w:val="es-419"/>
              </w:rPr>
            </w:pPr>
            <w:r>
              <w:rPr>
                <w:lang w:val="es-419"/>
              </w:rPr>
              <w:t>1.399</w:t>
            </w:r>
          </w:p>
        </w:tc>
        <w:tc>
          <w:tcPr>
            <w:tcW w:w="1372" w:type="dxa"/>
            <w:tcBorders>
              <w:bottom w:val="single" w:sz="4" w:space="0" w:color="auto"/>
            </w:tcBorders>
            <w:vAlign w:val="center"/>
          </w:tcPr>
          <w:p w14:paraId="761F1BB1" w14:textId="659BCB38" w:rsidR="005B065D" w:rsidRPr="00964F42" w:rsidRDefault="005B065D" w:rsidP="005B065D">
            <w:pPr>
              <w:spacing w:line="0" w:lineRule="atLeast"/>
              <w:jc w:val="center"/>
              <w:rPr>
                <w:lang w:val="es-419"/>
              </w:rPr>
            </w:pPr>
            <w:r>
              <w:rPr>
                <w:lang w:val="es-419"/>
              </w:rPr>
              <w:t>1.239</w:t>
            </w:r>
          </w:p>
        </w:tc>
        <w:tc>
          <w:tcPr>
            <w:tcW w:w="1554" w:type="dxa"/>
            <w:tcBorders>
              <w:bottom w:val="single" w:sz="4" w:space="0" w:color="auto"/>
            </w:tcBorders>
            <w:vAlign w:val="center"/>
          </w:tcPr>
          <w:p w14:paraId="22763A02" w14:textId="24D00F64" w:rsidR="005B065D" w:rsidRPr="00964F42" w:rsidRDefault="005B065D" w:rsidP="005B065D">
            <w:pPr>
              <w:spacing w:line="0" w:lineRule="atLeast"/>
              <w:jc w:val="center"/>
              <w:rPr>
                <w:lang w:val="es-419"/>
              </w:rPr>
            </w:pPr>
            <w:r>
              <w:rPr>
                <w:lang w:val="es-419"/>
              </w:rPr>
              <w:t>1.159</w:t>
            </w:r>
          </w:p>
        </w:tc>
        <w:tc>
          <w:tcPr>
            <w:tcW w:w="1190" w:type="dxa"/>
            <w:tcBorders>
              <w:bottom w:val="single" w:sz="4" w:space="0" w:color="auto"/>
            </w:tcBorders>
            <w:vAlign w:val="center"/>
          </w:tcPr>
          <w:p w14:paraId="2C9C1700" w14:textId="5CEB4652" w:rsidR="005B065D" w:rsidRPr="00964F42" w:rsidRDefault="005B065D" w:rsidP="005B065D">
            <w:pPr>
              <w:spacing w:line="0" w:lineRule="atLeast"/>
              <w:jc w:val="center"/>
              <w:rPr>
                <w:lang w:val="es-419"/>
              </w:rPr>
            </w:pPr>
            <w:r>
              <w:rPr>
                <w:lang w:val="es-419"/>
              </w:rPr>
              <w:t>1.919</w:t>
            </w:r>
          </w:p>
        </w:tc>
        <w:tc>
          <w:tcPr>
            <w:tcW w:w="1372" w:type="dxa"/>
            <w:tcBorders>
              <w:bottom w:val="single" w:sz="4" w:space="0" w:color="auto"/>
            </w:tcBorders>
          </w:tcPr>
          <w:p w14:paraId="7B2B1E48" w14:textId="48F58D35" w:rsidR="005B065D" w:rsidRDefault="005B065D" w:rsidP="005B065D">
            <w:pPr>
              <w:jc w:val="center"/>
            </w:pPr>
            <w:r>
              <w:t>899</w:t>
            </w:r>
          </w:p>
        </w:tc>
      </w:tr>
      <w:tr w:rsidR="005B065D" w:rsidRPr="00964F42" w14:paraId="60B40B7B" w14:textId="77777777" w:rsidTr="005B065D">
        <w:tc>
          <w:tcPr>
            <w:tcW w:w="1838" w:type="dxa"/>
            <w:shd w:val="pct20" w:color="auto" w:fill="auto"/>
            <w:vAlign w:val="center"/>
          </w:tcPr>
          <w:p w14:paraId="676243AA" w14:textId="398C07E2" w:rsidR="005B065D" w:rsidRPr="00964F42" w:rsidRDefault="005B065D" w:rsidP="005B065D">
            <w:pPr>
              <w:spacing w:line="0" w:lineRule="atLeast"/>
              <w:jc w:val="center"/>
              <w:rPr>
                <w:lang w:val="es-419"/>
              </w:rPr>
            </w:pPr>
            <w:r>
              <w:rPr>
                <w:lang w:val="es-419"/>
              </w:rPr>
              <w:t xml:space="preserve">Julio 12 – 19 – 26 </w:t>
            </w:r>
          </w:p>
        </w:tc>
        <w:tc>
          <w:tcPr>
            <w:tcW w:w="1372" w:type="dxa"/>
            <w:shd w:val="pct20" w:color="auto" w:fill="auto"/>
            <w:vAlign w:val="center"/>
          </w:tcPr>
          <w:p w14:paraId="3FCACEA3" w14:textId="0F3706CB" w:rsidR="005B065D" w:rsidRPr="00964F42" w:rsidRDefault="005B065D" w:rsidP="005B065D">
            <w:pPr>
              <w:spacing w:line="0" w:lineRule="atLeast"/>
              <w:jc w:val="center"/>
              <w:rPr>
                <w:lang w:val="es-419"/>
              </w:rPr>
            </w:pPr>
            <w:r>
              <w:rPr>
                <w:lang w:val="es-419"/>
              </w:rPr>
              <w:t>1.399</w:t>
            </w:r>
          </w:p>
        </w:tc>
        <w:tc>
          <w:tcPr>
            <w:tcW w:w="1372" w:type="dxa"/>
            <w:shd w:val="pct20" w:color="auto" w:fill="auto"/>
            <w:vAlign w:val="center"/>
          </w:tcPr>
          <w:p w14:paraId="6266230C" w14:textId="4D0C59BC" w:rsidR="005B065D" w:rsidRPr="00964F42" w:rsidRDefault="005B065D" w:rsidP="005B065D">
            <w:pPr>
              <w:spacing w:line="0" w:lineRule="atLeast"/>
              <w:jc w:val="center"/>
              <w:rPr>
                <w:lang w:val="es-419"/>
              </w:rPr>
            </w:pPr>
            <w:r>
              <w:rPr>
                <w:lang w:val="es-419"/>
              </w:rPr>
              <w:t>1.399</w:t>
            </w:r>
          </w:p>
        </w:tc>
        <w:tc>
          <w:tcPr>
            <w:tcW w:w="1372" w:type="dxa"/>
            <w:shd w:val="pct20" w:color="auto" w:fill="auto"/>
            <w:vAlign w:val="center"/>
          </w:tcPr>
          <w:p w14:paraId="035B696A" w14:textId="6DDB5FC7" w:rsidR="005B065D" w:rsidRPr="00964F42" w:rsidRDefault="005B065D" w:rsidP="005B065D">
            <w:pPr>
              <w:spacing w:line="0" w:lineRule="atLeast"/>
              <w:jc w:val="center"/>
              <w:rPr>
                <w:lang w:val="es-419"/>
              </w:rPr>
            </w:pPr>
            <w:r>
              <w:rPr>
                <w:lang w:val="es-419"/>
              </w:rPr>
              <w:t>1.239</w:t>
            </w:r>
          </w:p>
        </w:tc>
        <w:tc>
          <w:tcPr>
            <w:tcW w:w="1554" w:type="dxa"/>
            <w:shd w:val="pct20" w:color="auto" w:fill="auto"/>
            <w:vAlign w:val="center"/>
          </w:tcPr>
          <w:p w14:paraId="64E7CA1E" w14:textId="13F6575F" w:rsidR="005B065D" w:rsidRPr="00964F42" w:rsidRDefault="005B065D" w:rsidP="005B065D">
            <w:pPr>
              <w:spacing w:line="0" w:lineRule="atLeast"/>
              <w:jc w:val="center"/>
              <w:rPr>
                <w:lang w:val="es-419"/>
              </w:rPr>
            </w:pPr>
            <w:r>
              <w:rPr>
                <w:lang w:val="es-419"/>
              </w:rPr>
              <w:t>1.159</w:t>
            </w:r>
          </w:p>
        </w:tc>
        <w:tc>
          <w:tcPr>
            <w:tcW w:w="1190" w:type="dxa"/>
            <w:shd w:val="pct20" w:color="auto" w:fill="auto"/>
            <w:vAlign w:val="center"/>
          </w:tcPr>
          <w:p w14:paraId="2B41CD19" w14:textId="6C829793" w:rsidR="005B065D" w:rsidRPr="00964F42" w:rsidRDefault="005B065D" w:rsidP="005B065D">
            <w:pPr>
              <w:spacing w:line="0" w:lineRule="atLeast"/>
              <w:jc w:val="center"/>
              <w:rPr>
                <w:lang w:val="es-419"/>
              </w:rPr>
            </w:pPr>
            <w:r>
              <w:rPr>
                <w:lang w:val="es-419"/>
              </w:rPr>
              <w:t>1.919</w:t>
            </w:r>
          </w:p>
        </w:tc>
        <w:tc>
          <w:tcPr>
            <w:tcW w:w="1372" w:type="dxa"/>
            <w:shd w:val="pct20" w:color="auto" w:fill="auto"/>
          </w:tcPr>
          <w:p w14:paraId="1665F6A6" w14:textId="68FDC7DA" w:rsidR="005B065D" w:rsidRDefault="005B065D" w:rsidP="005B065D">
            <w:pPr>
              <w:jc w:val="center"/>
            </w:pPr>
            <w:r>
              <w:t>899</w:t>
            </w:r>
          </w:p>
        </w:tc>
      </w:tr>
      <w:tr w:rsidR="005B065D" w:rsidRPr="00964F42" w14:paraId="7E3677DB" w14:textId="77777777" w:rsidTr="005B065D">
        <w:tc>
          <w:tcPr>
            <w:tcW w:w="1838" w:type="dxa"/>
            <w:tcBorders>
              <w:bottom w:val="single" w:sz="4" w:space="0" w:color="auto"/>
            </w:tcBorders>
            <w:vAlign w:val="center"/>
          </w:tcPr>
          <w:p w14:paraId="76294AF7" w14:textId="1E0C63FB" w:rsidR="005B065D" w:rsidRPr="00964F42" w:rsidRDefault="005B065D" w:rsidP="005B065D">
            <w:pPr>
              <w:spacing w:line="0" w:lineRule="atLeast"/>
              <w:jc w:val="center"/>
              <w:rPr>
                <w:lang w:val="es-419"/>
              </w:rPr>
            </w:pPr>
            <w:r>
              <w:rPr>
                <w:lang w:val="es-419"/>
              </w:rPr>
              <w:t xml:space="preserve">Agosto 2 – 9 – 16 </w:t>
            </w:r>
          </w:p>
        </w:tc>
        <w:tc>
          <w:tcPr>
            <w:tcW w:w="1372" w:type="dxa"/>
            <w:tcBorders>
              <w:bottom w:val="single" w:sz="4" w:space="0" w:color="auto"/>
            </w:tcBorders>
            <w:vAlign w:val="center"/>
          </w:tcPr>
          <w:p w14:paraId="292DEB67" w14:textId="6AE8F44C" w:rsidR="005B065D" w:rsidRPr="00964F42" w:rsidRDefault="005B065D" w:rsidP="005B065D">
            <w:pPr>
              <w:spacing w:line="0" w:lineRule="atLeast"/>
              <w:jc w:val="center"/>
              <w:rPr>
                <w:lang w:val="es-419"/>
              </w:rPr>
            </w:pPr>
            <w:r>
              <w:rPr>
                <w:lang w:val="es-419"/>
              </w:rPr>
              <w:t>1.399</w:t>
            </w:r>
          </w:p>
        </w:tc>
        <w:tc>
          <w:tcPr>
            <w:tcW w:w="1372" w:type="dxa"/>
            <w:tcBorders>
              <w:bottom w:val="single" w:sz="4" w:space="0" w:color="auto"/>
            </w:tcBorders>
            <w:vAlign w:val="center"/>
          </w:tcPr>
          <w:p w14:paraId="61ACAA0E" w14:textId="05F0FC5A" w:rsidR="005B065D" w:rsidRPr="00964F42" w:rsidRDefault="005B065D" w:rsidP="005B065D">
            <w:pPr>
              <w:spacing w:line="0" w:lineRule="atLeast"/>
              <w:jc w:val="center"/>
              <w:rPr>
                <w:lang w:val="es-419"/>
              </w:rPr>
            </w:pPr>
            <w:r>
              <w:rPr>
                <w:lang w:val="es-419"/>
              </w:rPr>
              <w:t>1.399</w:t>
            </w:r>
          </w:p>
        </w:tc>
        <w:tc>
          <w:tcPr>
            <w:tcW w:w="1372" w:type="dxa"/>
            <w:tcBorders>
              <w:bottom w:val="single" w:sz="4" w:space="0" w:color="auto"/>
            </w:tcBorders>
            <w:vAlign w:val="center"/>
          </w:tcPr>
          <w:p w14:paraId="3804BA8C" w14:textId="090DBC2D" w:rsidR="005B065D" w:rsidRPr="00964F42" w:rsidRDefault="005B065D" w:rsidP="005B065D">
            <w:pPr>
              <w:spacing w:line="0" w:lineRule="atLeast"/>
              <w:jc w:val="center"/>
              <w:rPr>
                <w:lang w:val="es-419"/>
              </w:rPr>
            </w:pPr>
            <w:r>
              <w:rPr>
                <w:lang w:val="es-419"/>
              </w:rPr>
              <w:t>1.239</w:t>
            </w:r>
          </w:p>
        </w:tc>
        <w:tc>
          <w:tcPr>
            <w:tcW w:w="1554" w:type="dxa"/>
            <w:tcBorders>
              <w:bottom w:val="single" w:sz="4" w:space="0" w:color="auto"/>
            </w:tcBorders>
            <w:vAlign w:val="center"/>
          </w:tcPr>
          <w:p w14:paraId="28755012" w14:textId="6EF8B5A7" w:rsidR="005B065D" w:rsidRPr="00964F42" w:rsidRDefault="005B065D" w:rsidP="005B065D">
            <w:pPr>
              <w:spacing w:line="0" w:lineRule="atLeast"/>
              <w:jc w:val="center"/>
              <w:rPr>
                <w:lang w:val="es-419"/>
              </w:rPr>
            </w:pPr>
            <w:r>
              <w:rPr>
                <w:lang w:val="es-419"/>
              </w:rPr>
              <w:t>1.159</w:t>
            </w:r>
          </w:p>
        </w:tc>
        <w:tc>
          <w:tcPr>
            <w:tcW w:w="1190" w:type="dxa"/>
            <w:tcBorders>
              <w:bottom w:val="single" w:sz="4" w:space="0" w:color="auto"/>
            </w:tcBorders>
            <w:vAlign w:val="center"/>
          </w:tcPr>
          <w:p w14:paraId="378D99C2" w14:textId="565DC76B" w:rsidR="005B065D" w:rsidRPr="00964F42" w:rsidRDefault="005B065D" w:rsidP="005B065D">
            <w:pPr>
              <w:spacing w:line="0" w:lineRule="atLeast"/>
              <w:jc w:val="center"/>
              <w:rPr>
                <w:lang w:val="es-419"/>
              </w:rPr>
            </w:pPr>
            <w:r>
              <w:rPr>
                <w:lang w:val="es-419"/>
              </w:rPr>
              <w:t>1.919</w:t>
            </w:r>
          </w:p>
        </w:tc>
        <w:tc>
          <w:tcPr>
            <w:tcW w:w="1372" w:type="dxa"/>
            <w:tcBorders>
              <w:bottom w:val="single" w:sz="4" w:space="0" w:color="auto"/>
            </w:tcBorders>
          </w:tcPr>
          <w:p w14:paraId="4E506B70" w14:textId="66B84888" w:rsidR="005B065D" w:rsidRDefault="005B065D" w:rsidP="005B065D">
            <w:pPr>
              <w:jc w:val="center"/>
            </w:pPr>
            <w:r>
              <w:t>899</w:t>
            </w:r>
          </w:p>
        </w:tc>
      </w:tr>
      <w:tr w:rsidR="005B065D" w:rsidRPr="00964F42" w14:paraId="60D0168F" w14:textId="77777777" w:rsidTr="00947EDE">
        <w:tc>
          <w:tcPr>
            <w:tcW w:w="1838" w:type="dxa"/>
            <w:shd w:val="pct20" w:color="auto" w:fill="auto"/>
            <w:vAlign w:val="center"/>
          </w:tcPr>
          <w:p w14:paraId="0AA11A67" w14:textId="1AAEF7B3" w:rsidR="005B065D" w:rsidRPr="00964F42" w:rsidRDefault="005B065D" w:rsidP="005B065D">
            <w:pPr>
              <w:spacing w:line="0" w:lineRule="atLeast"/>
              <w:jc w:val="center"/>
              <w:rPr>
                <w:lang w:val="es-419"/>
              </w:rPr>
            </w:pPr>
            <w:r>
              <w:rPr>
                <w:lang w:val="es-419"/>
              </w:rPr>
              <w:t>Sepiembre 13</w:t>
            </w:r>
          </w:p>
        </w:tc>
        <w:tc>
          <w:tcPr>
            <w:tcW w:w="1372" w:type="dxa"/>
            <w:shd w:val="pct20" w:color="auto" w:fill="auto"/>
            <w:vAlign w:val="center"/>
          </w:tcPr>
          <w:p w14:paraId="617E8F0C" w14:textId="004AC1CA"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4F42B0F3" w14:textId="4EF90047"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4C8B4234" w14:textId="418C8FD7" w:rsidR="005B065D" w:rsidRPr="00964F42" w:rsidRDefault="005B065D" w:rsidP="005B065D">
            <w:pPr>
              <w:spacing w:line="0" w:lineRule="atLeast"/>
              <w:jc w:val="center"/>
              <w:rPr>
                <w:lang w:val="es-419"/>
              </w:rPr>
            </w:pPr>
            <w:r>
              <w:rPr>
                <w:lang w:val="es-419"/>
              </w:rPr>
              <w:t>1.219</w:t>
            </w:r>
          </w:p>
        </w:tc>
        <w:tc>
          <w:tcPr>
            <w:tcW w:w="1554" w:type="dxa"/>
            <w:shd w:val="pct20" w:color="auto" w:fill="auto"/>
            <w:vAlign w:val="center"/>
          </w:tcPr>
          <w:p w14:paraId="15779C43" w14:textId="4877107C" w:rsidR="005B065D" w:rsidRPr="00964F42" w:rsidRDefault="005B065D" w:rsidP="005B065D">
            <w:pPr>
              <w:spacing w:line="0" w:lineRule="atLeast"/>
              <w:jc w:val="center"/>
              <w:rPr>
                <w:lang w:val="es-419"/>
              </w:rPr>
            </w:pPr>
            <w:r>
              <w:rPr>
                <w:lang w:val="es-419"/>
              </w:rPr>
              <w:t>1.139</w:t>
            </w:r>
          </w:p>
        </w:tc>
        <w:tc>
          <w:tcPr>
            <w:tcW w:w="1190" w:type="dxa"/>
            <w:shd w:val="pct20" w:color="auto" w:fill="auto"/>
            <w:vAlign w:val="center"/>
          </w:tcPr>
          <w:p w14:paraId="28B261E0" w14:textId="1AC035AC" w:rsidR="005B065D" w:rsidRPr="00964F42" w:rsidRDefault="005B065D" w:rsidP="005B065D">
            <w:pPr>
              <w:spacing w:line="0" w:lineRule="atLeast"/>
              <w:jc w:val="center"/>
              <w:rPr>
                <w:lang w:val="es-419"/>
              </w:rPr>
            </w:pPr>
            <w:r>
              <w:rPr>
                <w:lang w:val="es-419"/>
              </w:rPr>
              <w:t>1.899</w:t>
            </w:r>
          </w:p>
        </w:tc>
        <w:tc>
          <w:tcPr>
            <w:tcW w:w="1372" w:type="dxa"/>
            <w:shd w:val="pct20" w:color="auto" w:fill="auto"/>
            <w:vAlign w:val="center"/>
          </w:tcPr>
          <w:p w14:paraId="5E61964E" w14:textId="5AD7CC0B" w:rsidR="005B065D" w:rsidRDefault="005B065D" w:rsidP="005B065D">
            <w:pPr>
              <w:jc w:val="center"/>
            </w:pPr>
            <w:r>
              <w:rPr>
                <w:lang w:val="es-419"/>
              </w:rPr>
              <w:t>899</w:t>
            </w:r>
          </w:p>
        </w:tc>
      </w:tr>
      <w:tr w:rsidR="005B065D" w:rsidRPr="00964F42" w14:paraId="681739E8" w14:textId="77777777" w:rsidTr="005B065D">
        <w:tc>
          <w:tcPr>
            <w:tcW w:w="1838" w:type="dxa"/>
            <w:tcBorders>
              <w:bottom w:val="single" w:sz="4" w:space="0" w:color="auto"/>
            </w:tcBorders>
            <w:vAlign w:val="center"/>
          </w:tcPr>
          <w:p w14:paraId="29FE5F31" w14:textId="46F5F5C5" w:rsidR="005B065D" w:rsidRPr="00964F42" w:rsidRDefault="005B065D" w:rsidP="005B065D">
            <w:pPr>
              <w:spacing w:line="0" w:lineRule="atLeast"/>
              <w:jc w:val="center"/>
              <w:rPr>
                <w:lang w:val="es-419"/>
              </w:rPr>
            </w:pPr>
            <w:r>
              <w:rPr>
                <w:lang w:val="es-419"/>
              </w:rPr>
              <w:t>Octubre 4</w:t>
            </w:r>
          </w:p>
        </w:tc>
        <w:tc>
          <w:tcPr>
            <w:tcW w:w="1372" w:type="dxa"/>
            <w:tcBorders>
              <w:bottom w:val="single" w:sz="4" w:space="0" w:color="auto"/>
            </w:tcBorders>
            <w:vAlign w:val="center"/>
          </w:tcPr>
          <w:p w14:paraId="1E969C37" w14:textId="707E4517" w:rsidR="005B065D" w:rsidRPr="00964F42" w:rsidRDefault="005B065D" w:rsidP="005B065D">
            <w:pPr>
              <w:spacing w:line="0" w:lineRule="atLeast"/>
              <w:jc w:val="center"/>
              <w:rPr>
                <w:lang w:val="es-419"/>
              </w:rPr>
            </w:pPr>
            <w:r>
              <w:rPr>
                <w:lang w:val="es-419"/>
              </w:rPr>
              <w:t>1.379</w:t>
            </w:r>
          </w:p>
        </w:tc>
        <w:tc>
          <w:tcPr>
            <w:tcW w:w="1372" w:type="dxa"/>
            <w:tcBorders>
              <w:bottom w:val="single" w:sz="4" w:space="0" w:color="auto"/>
            </w:tcBorders>
            <w:vAlign w:val="center"/>
          </w:tcPr>
          <w:p w14:paraId="12F3B36A" w14:textId="372D80A3" w:rsidR="005B065D" w:rsidRPr="00964F42" w:rsidRDefault="005B065D" w:rsidP="005B065D">
            <w:pPr>
              <w:spacing w:line="0" w:lineRule="atLeast"/>
              <w:jc w:val="center"/>
              <w:rPr>
                <w:lang w:val="es-419"/>
              </w:rPr>
            </w:pPr>
            <w:r>
              <w:rPr>
                <w:lang w:val="es-419"/>
              </w:rPr>
              <w:t>1.379</w:t>
            </w:r>
          </w:p>
        </w:tc>
        <w:tc>
          <w:tcPr>
            <w:tcW w:w="1372" w:type="dxa"/>
            <w:tcBorders>
              <w:bottom w:val="single" w:sz="4" w:space="0" w:color="auto"/>
            </w:tcBorders>
            <w:vAlign w:val="center"/>
          </w:tcPr>
          <w:p w14:paraId="2A369D49" w14:textId="67ACBBAA" w:rsidR="005B065D" w:rsidRPr="00964F42" w:rsidRDefault="005B065D" w:rsidP="005B065D">
            <w:pPr>
              <w:spacing w:line="0" w:lineRule="atLeast"/>
              <w:jc w:val="center"/>
              <w:rPr>
                <w:lang w:val="es-419"/>
              </w:rPr>
            </w:pPr>
            <w:r>
              <w:rPr>
                <w:lang w:val="es-419"/>
              </w:rPr>
              <w:t>1.219</w:t>
            </w:r>
          </w:p>
        </w:tc>
        <w:tc>
          <w:tcPr>
            <w:tcW w:w="1554" w:type="dxa"/>
            <w:tcBorders>
              <w:bottom w:val="single" w:sz="4" w:space="0" w:color="auto"/>
            </w:tcBorders>
            <w:vAlign w:val="center"/>
          </w:tcPr>
          <w:p w14:paraId="0C3CC0B4" w14:textId="68A8496A" w:rsidR="005B065D" w:rsidRPr="00964F42" w:rsidRDefault="005B065D" w:rsidP="005B065D">
            <w:pPr>
              <w:spacing w:line="0" w:lineRule="atLeast"/>
              <w:jc w:val="center"/>
              <w:rPr>
                <w:lang w:val="es-419"/>
              </w:rPr>
            </w:pPr>
            <w:r>
              <w:rPr>
                <w:lang w:val="es-419"/>
              </w:rPr>
              <w:t>1.139</w:t>
            </w:r>
          </w:p>
        </w:tc>
        <w:tc>
          <w:tcPr>
            <w:tcW w:w="1190" w:type="dxa"/>
            <w:tcBorders>
              <w:bottom w:val="single" w:sz="4" w:space="0" w:color="auto"/>
            </w:tcBorders>
            <w:vAlign w:val="center"/>
          </w:tcPr>
          <w:p w14:paraId="11B9824D" w14:textId="1B154D7D" w:rsidR="005B065D" w:rsidRPr="00964F42" w:rsidRDefault="005B065D" w:rsidP="005B065D">
            <w:pPr>
              <w:spacing w:line="0" w:lineRule="atLeast"/>
              <w:jc w:val="center"/>
              <w:rPr>
                <w:lang w:val="es-419"/>
              </w:rPr>
            </w:pPr>
            <w:r>
              <w:rPr>
                <w:lang w:val="es-419"/>
              </w:rPr>
              <w:t>1.899</w:t>
            </w:r>
          </w:p>
        </w:tc>
        <w:tc>
          <w:tcPr>
            <w:tcW w:w="1372" w:type="dxa"/>
            <w:tcBorders>
              <w:bottom w:val="single" w:sz="4" w:space="0" w:color="auto"/>
            </w:tcBorders>
            <w:vAlign w:val="center"/>
          </w:tcPr>
          <w:p w14:paraId="14C86D56" w14:textId="1B4A700E" w:rsidR="005B065D" w:rsidRPr="00964F42" w:rsidRDefault="005B065D" w:rsidP="005B065D">
            <w:pPr>
              <w:spacing w:line="0" w:lineRule="atLeast"/>
              <w:jc w:val="center"/>
              <w:rPr>
                <w:lang w:val="es-419"/>
              </w:rPr>
            </w:pPr>
            <w:r>
              <w:rPr>
                <w:lang w:val="es-419"/>
              </w:rPr>
              <w:t>899</w:t>
            </w:r>
          </w:p>
        </w:tc>
      </w:tr>
      <w:tr w:rsidR="005B065D" w:rsidRPr="00964F42" w14:paraId="0EE05939" w14:textId="77777777" w:rsidTr="005B065D">
        <w:tc>
          <w:tcPr>
            <w:tcW w:w="1838" w:type="dxa"/>
            <w:shd w:val="pct20" w:color="auto" w:fill="auto"/>
            <w:vAlign w:val="center"/>
          </w:tcPr>
          <w:p w14:paraId="491E2105" w14:textId="2D26EA80" w:rsidR="005B065D" w:rsidRDefault="005B065D" w:rsidP="005B065D">
            <w:pPr>
              <w:spacing w:line="0" w:lineRule="atLeast"/>
              <w:jc w:val="center"/>
              <w:rPr>
                <w:lang w:val="es-419"/>
              </w:rPr>
            </w:pPr>
            <w:r>
              <w:rPr>
                <w:lang w:val="es-419"/>
              </w:rPr>
              <w:t>Diciembre 30</w:t>
            </w:r>
          </w:p>
        </w:tc>
        <w:tc>
          <w:tcPr>
            <w:tcW w:w="1372" w:type="dxa"/>
            <w:shd w:val="pct20" w:color="auto" w:fill="auto"/>
            <w:vAlign w:val="center"/>
          </w:tcPr>
          <w:p w14:paraId="23E5A38C" w14:textId="174ACB30"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3BBFE676" w14:textId="2B61C123" w:rsidR="005B065D" w:rsidRPr="00964F42" w:rsidRDefault="005B065D" w:rsidP="005B065D">
            <w:pPr>
              <w:spacing w:line="0" w:lineRule="atLeast"/>
              <w:jc w:val="center"/>
              <w:rPr>
                <w:lang w:val="es-419"/>
              </w:rPr>
            </w:pPr>
            <w:r>
              <w:rPr>
                <w:lang w:val="es-419"/>
              </w:rPr>
              <w:t>1.379</w:t>
            </w:r>
          </w:p>
        </w:tc>
        <w:tc>
          <w:tcPr>
            <w:tcW w:w="1372" w:type="dxa"/>
            <w:shd w:val="pct20" w:color="auto" w:fill="auto"/>
            <w:vAlign w:val="center"/>
          </w:tcPr>
          <w:p w14:paraId="4BF903F9" w14:textId="603B273E" w:rsidR="005B065D" w:rsidRPr="00964F42" w:rsidRDefault="005B065D" w:rsidP="005B065D">
            <w:pPr>
              <w:spacing w:line="0" w:lineRule="atLeast"/>
              <w:jc w:val="center"/>
              <w:rPr>
                <w:lang w:val="es-419"/>
              </w:rPr>
            </w:pPr>
            <w:r>
              <w:rPr>
                <w:lang w:val="es-419"/>
              </w:rPr>
              <w:t>1.219</w:t>
            </w:r>
          </w:p>
        </w:tc>
        <w:tc>
          <w:tcPr>
            <w:tcW w:w="1554" w:type="dxa"/>
            <w:shd w:val="pct20" w:color="auto" w:fill="auto"/>
            <w:vAlign w:val="center"/>
          </w:tcPr>
          <w:p w14:paraId="2B1A4FC2" w14:textId="585D52F5" w:rsidR="005B065D" w:rsidRPr="00964F42" w:rsidRDefault="005B065D" w:rsidP="005B065D">
            <w:pPr>
              <w:spacing w:line="0" w:lineRule="atLeast"/>
              <w:jc w:val="center"/>
              <w:rPr>
                <w:lang w:val="es-419"/>
              </w:rPr>
            </w:pPr>
            <w:r>
              <w:rPr>
                <w:lang w:val="es-419"/>
              </w:rPr>
              <w:t>1.139</w:t>
            </w:r>
          </w:p>
        </w:tc>
        <w:tc>
          <w:tcPr>
            <w:tcW w:w="1190" w:type="dxa"/>
            <w:shd w:val="pct20" w:color="auto" w:fill="auto"/>
            <w:vAlign w:val="center"/>
          </w:tcPr>
          <w:p w14:paraId="2B729953" w14:textId="0F446E41" w:rsidR="005B065D" w:rsidRPr="00964F42" w:rsidRDefault="005B065D" w:rsidP="005B065D">
            <w:pPr>
              <w:spacing w:line="0" w:lineRule="atLeast"/>
              <w:jc w:val="center"/>
              <w:rPr>
                <w:lang w:val="es-419"/>
              </w:rPr>
            </w:pPr>
            <w:r>
              <w:rPr>
                <w:lang w:val="es-419"/>
              </w:rPr>
              <w:t>1.899</w:t>
            </w:r>
          </w:p>
        </w:tc>
        <w:tc>
          <w:tcPr>
            <w:tcW w:w="1372" w:type="dxa"/>
            <w:shd w:val="pct20" w:color="auto" w:fill="auto"/>
            <w:vAlign w:val="center"/>
          </w:tcPr>
          <w:p w14:paraId="6670C271" w14:textId="4F4660A5" w:rsidR="005B065D" w:rsidRPr="00964F42" w:rsidRDefault="005B065D" w:rsidP="005B065D">
            <w:pPr>
              <w:spacing w:line="0" w:lineRule="atLeast"/>
              <w:jc w:val="center"/>
              <w:rPr>
                <w:lang w:val="es-419"/>
              </w:rPr>
            </w:pPr>
            <w:r>
              <w:rPr>
                <w:lang w:val="es-419"/>
              </w:rPr>
              <w:t>899</w:t>
            </w:r>
          </w:p>
        </w:tc>
      </w:tr>
    </w:tbl>
    <w:p w14:paraId="6442FA38" w14:textId="77777777" w:rsidR="005B065D" w:rsidRPr="0060043B" w:rsidRDefault="005B065D" w:rsidP="0060043B">
      <w:pPr>
        <w:pStyle w:val="itinerario"/>
      </w:pPr>
    </w:p>
    <w:p w14:paraId="75F41D78" w14:textId="497A2A73" w:rsidR="00AF2ED6" w:rsidRPr="00AF2ED6" w:rsidRDefault="00AF2ED6" w:rsidP="0060043B">
      <w:pPr>
        <w:pStyle w:val="vinetas"/>
        <w:jc w:val="both"/>
        <w:rPr>
          <w:lang w:val="es-419"/>
        </w:rPr>
      </w:pPr>
      <w:r w:rsidRPr="00AF2ED6">
        <w:rPr>
          <w:lang w:val="es-419"/>
        </w:rPr>
        <w:t xml:space="preserve">Salida de </w:t>
      </w:r>
      <w:r w:rsidR="005B065D">
        <w:rPr>
          <w:lang w:val="es-419"/>
        </w:rPr>
        <w:t>marzo 22</w:t>
      </w:r>
      <w:r w:rsidRPr="00AF2ED6">
        <w:rPr>
          <w:lang w:val="es-419"/>
        </w:rPr>
        <w:t xml:space="preserve">, semana santa, es día </w:t>
      </w:r>
      <w:r w:rsidR="005B065D">
        <w:rPr>
          <w:lang w:val="es-419"/>
        </w:rPr>
        <w:t>vierne</w:t>
      </w:r>
      <w:r w:rsidR="00A21912">
        <w:rPr>
          <w:lang w:val="es-419"/>
        </w:rPr>
        <w:t>s</w:t>
      </w:r>
      <w:r w:rsidRPr="00AF2ED6">
        <w:rPr>
          <w:lang w:val="es-419"/>
        </w:rPr>
        <w:t>.</w:t>
      </w:r>
    </w:p>
    <w:p w14:paraId="311B85C5" w14:textId="7DDD10AE" w:rsidR="00AF2ED6" w:rsidRPr="00AF2ED6" w:rsidRDefault="00AF2ED6" w:rsidP="0060043B">
      <w:pPr>
        <w:pStyle w:val="vinetas"/>
        <w:jc w:val="both"/>
        <w:rPr>
          <w:lang w:val="es-419"/>
        </w:rPr>
      </w:pPr>
      <w:r w:rsidRPr="00AF2ED6">
        <w:rPr>
          <w:lang w:val="es-419"/>
        </w:rPr>
        <w:t xml:space="preserve">Salida de diciembre </w:t>
      </w:r>
      <w:r w:rsidR="00A21912">
        <w:rPr>
          <w:lang w:val="es-419"/>
        </w:rPr>
        <w:t>30</w:t>
      </w:r>
      <w:r w:rsidRPr="00AF2ED6">
        <w:rPr>
          <w:lang w:val="es-419"/>
        </w:rPr>
        <w:t>, es día</w:t>
      </w:r>
      <w:r w:rsidR="005B065D">
        <w:rPr>
          <w:lang w:val="es-419"/>
        </w:rPr>
        <w:t xml:space="preserve"> lunes.</w:t>
      </w:r>
    </w:p>
    <w:p w14:paraId="07E7B61B" w14:textId="77777777" w:rsidR="00AF2ED6" w:rsidRPr="00F17367" w:rsidRDefault="00AF2ED6" w:rsidP="0060043B">
      <w:pPr>
        <w:pStyle w:val="vinetas"/>
        <w:jc w:val="both"/>
        <w:rPr>
          <w:lang w:val="es-419"/>
        </w:rPr>
      </w:pPr>
      <w:r w:rsidRPr="00F17367">
        <w:rPr>
          <w:lang w:val="es-419"/>
        </w:rPr>
        <w:t>Hoteles previstos o de categoría similar.</w:t>
      </w:r>
    </w:p>
    <w:p w14:paraId="5F41CD9F" w14:textId="77777777" w:rsidR="00AF2ED6" w:rsidRPr="00F17367" w:rsidRDefault="00AF2ED6" w:rsidP="0060043B">
      <w:pPr>
        <w:pStyle w:val="vinetas"/>
        <w:jc w:val="both"/>
        <w:rPr>
          <w:lang w:val="es-419"/>
        </w:rPr>
      </w:pPr>
      <w:r w:rsidRPr="00F17367">
        <w:rPr>
          <w:lang w:val="es-419"/>
        </w:rPr>
        <w:lastRenderedPageBreak/>
        <w:t>Precios sujetos a cambio sin previo aviso.</w:t>
      </w:r>
    </w:p>
    <w:p w14:paraId="7A7A4638" w14:textId="77777777" w:rsidR="00AF2ED6" w:rsidRPr="00F56555" w:rsidRDefault="00AF2ED6" w:rsidP="0060043B">
      <w:pPr>
        <w:pStyle w:val="vinetas"/>
        <w:jc w:val="both"/>
        <w:rPr>
          <w:lang w:val="es-419"/>
        </w:rPr>
      </w:pPr>
      <w:r w:rsidRPr="00F56555">
        <w:rPr>
          <w:lang w:val="es-419"/>
        </w:rPr>
        <w:t>Habitación DOBLE es con una cama matrimonial; habitación TWIN es con dos camas dobles para dos pasajeros.</w:t>
      </w:r>
    </w:p>
    <w:p w14:paraId="3FE4BD0B" w14:textId="77777777" w:rsidR="00AF2ED6" w:rsidRPr="00F56555" w:rsidRDefault="00AF2ED6" w:rsidP="0060043B">
      <w:pPr>
        <w:pStyle w:val="vinetas"/>
        <w:jc w:val="both"/>
        <w:rPr>
          <w:lang w:val="es-419"/>
        </w:rPr>
      </w:pPr>
      <w:r w:rsidRPr="00F56555">
        <w:rPr>
          <w:lang w:val="es-419"/>
        </w:rPr>
        <w:t>Dos adultos más 1 o 2 niños aplicará la acomodación TWIN + Niño (2)</w:t>
      </w:r>
      <w:r w:rsidR="00F56555" w:rsidRPr="00F56555">
        <w:rPr>
          <w:lang w:val="es-419"/>
        </w:rPr>
        <w:t>.</w:t>
      </w:r>
    </w:p>
    <w:p w14:paraId="45351BA6" w14:textId="77777777" w:rsidR="00AF2ED6" w:rsidRPr="002C1F46" w:rsidRDefault="00AF2ED6" w:rsidP="0060043B">
      <w:pPr>
        <w:pStyle w:val="vinetas"/>
        <w:jc w:val="both"/>
        <w:rPr>
          <w:lang w:val="es-419"/>
        </w:rPr>
      </w:pPr>
      <w:r w:rsidRPr="002C1F46">
        <w:rPr>
          <w:lang w:val="es-419"/>
        </w:rPr>
        <w:t>Para realizar la visita al Cementerio de Arlington, se deberá llevar el pasaporte vigente, sin este documento, en mano, al momento de entrar al cementerio NO se le permitirá el ingreso.</w:t>
      </w:r>
    </w:p>
    <w:p w14:paraId="2172822D" w14:textId="77777777" w:rsidR="00AF2ED6" w:rsidRPr="002C1F46" w:rsidRDefault="00AF2ED6" w:rsidP="0060043B">
      <w:pPr>
        <w:pStyle w:val="vinetas"/>
        <w:jc w:val="both"/>
        <w:rPr>
          <w:lang w:val="es-419"/>
        </w:rPr>
      </w:pPr>
      <w:r w:rsidRPr="002C1F46">
        <w:rPr>
          <w:lang w:val="es-419"/>
        </w:rPr>
        <w:t>Aplican gastos de cancelación según condiciones generales sin excepción.</w:t>
      </w:r>
    </w:p>
    <w:p w14:paraId="40F8CE24" w14:textId="77777777" w:rsidR="00AF2ED6" w:rsidRPr="0060043B" w:rsidRDefault="00AF2ED6" w:rsidP="0060043B">
      <w:pPr>
        <w:pStyle w:val="itinerario"/>
      </w:pPr>
    </w:p>
    <w:p w14:paraId="24091418" w14:textId="77777777" w:rsidR="00AF2ED6" w:rsidRPr="00393D68" w:rsidRDefault="00AF2ED6" w:rsidP="00AF2ED6">
      <w:pPr>
        <w:pStyle w:val="dias"/>
        <w:rPr>
          <w:color w:val="1F3864"/>
          <w:sz w:val="28"/>
          <w:szCs w:val="28"/>
        </w:rPr>
      </w:pPr>
      <w:r w:rsidRPr="00393D68">
        <w:rPr>
          <w:caps w:val="0"/>
          <w:color w:val="1F3864"/>
          <w:sz w:val="28"/>
          <w:szCs w:val="28"/>
        </w:rPr>
        <w:t>POLÍTICA DE NIÑOS</w:t>
      </w:r>
    </w:p>
    <w:p w14:paraId="0B54AE78" w14:textId="77777777" w:rsidR="00AF2ED6" w:rsidRPr="00915312" w:rsidRDefault="00AF2ED6" w:rsidP="00AF2ED6">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4AB5EB97" w14:textId="77777777" w:rsidR="00AF2ED6" w:rsidRDefault="00AF2ED6" w:rsidP="00AF2ED6">
      <w:pPr>
        <w:pStyle w:val="Prrafodelista"/>
        <w:jc w:val="both"/>
        <w:rPr>
          <w:rFonts w:cs="Calibri"/>
          <w:szCs w:val="22"/>
        </w:rPr>
      </w:pPr>
      <w:r w:rsidRPr="00D20CA3">
        <w:rPr>
          <w:rFonts w:cs="Calibri"/>
          <w:szCs w:val="22"/>
        </w:rPr>
        <w:t>Aplica a suplemento por traslados y visita en Nueva York</w:t>
      </w:r>
      <w:r>
        <w:rPr>
          <w:rFonts w:cs="Calibri"/>
          <w:szCs w:val="22"/>
        </w:rPr>
        <w:t>, por favor consultar</w:t>
      </w:r>
      <w:r w:rsidRPr="00D20CA3">
        <w:rPr>
          <w:rFonts w:cs="Calibri"/>
          <w:szCs w:val="22"/>
        </w:rPr>
        <w:t>.</w:t>
      </w:r>
      <w:r>
        <w:rPr>
          <w:rFonts w:cs="Calibri"/>
          <w:szCs w:val="22"/>
        </w:rPr>
        <w:t xml:space="preserve"> </w:t>
      </w:r>
    </w:p>
    <w:p w14:paraId="401BC9F6" w14:textId="77777777" w:rsidR="00AF2ED6" w:rsidRDefault="00AF2ED6" w:rsidP="00AF2ED6">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051FAE80" w14:textId="77777777" w:rsidR="00AF2ED6" w:rsidRPr="009E2B43" w:rsidRDefault="00AF2ED6" w:rsidP="00AF2ED6">
      <w:pPr>
        <w:pStyle w:val="Prrafodelista"/>
        <w:jc w:val="both"/>
      </w:pPr>
      <w:r>
        <w:t>Si los padres llevan silla para el infante, pagaran tarifa de Niños, ya que ocuparían silla.</w:t>
      </w:r>
    </w:p>
    <w:p w14:paraId="2B760698" w14:textId="77777777" w:rsidR="00AF2ED6" w:rsidRPr="00D20CA3" w:rsidRDefault="00AF2ED6" w:rsidP="00AF2ED6">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69E7C17E" w14:textId="77777777" w:rsidR="00AF2ED6" w:rsidRPr="00295B34" w:rsidRDefault="00AF2ED6" w:rsidP="00AF2ED6">
      <w:pPr>
        <w:pStyle w:val="Prrafodelista"/>
        <w:numPr>
          <w:ilvl w:val="0"/>
          <w:numId w:val="24"/>
        </w:numPr>
        <w:jc w:val="both"/>
      </w:pPr>
      <w:r>
        <w:rPr>
          <w:rFonts w:cs="Calibri"/>
          <w:szCs w:val="22"/>
        </w:rPr>
        <w:t>Niños a partir de 16 años, pagan como adultos.</w:t>
      </w:r>
    </w:p>
    <w:p w14:paraId="7AF6FB87" w14:textId="77777777" w:rsidR="00AF2ED6" w:rsidRDefault="00AF2ED6" w:rsidP="00AF2ED6">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701C5470" w14:textId="77777777" w:rsidR="00DA2F99" w:rsidRDefault="00DA2F99" w:rsidP="00DA2F99">
      <w:pPr>
        <w:pStyle w:val="itinerario"/>
      </w:pPr>
    </w:p>
    <w:p w14:paraId="09E04A32" w14:textId="77777777" w:rsidR="00AF2ED6" w:rsidRPr="003B05DB" w:rsidRDefault="00AF2ED6" w:rsidP="00AF2ED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7C8B1D3A" w14:textId="77777777" w:rsidR="00AF2ED6" w:rsidRPr="00C3754A" w:rsidRDefault="00AF2ED6" w:rsidP="00AF2ED6">
      <w:pPr>
        <w:pStyle w:val="itinerario"/>
      </w:pPr>
    </w:p>
    <w:tbl>
      <w:tblPr>
        <w:tblStyle w:val="Tablaconcuadrcula"/>
        <w:tblW w:w="0" w:type="auto"/>
        <w:tblLook w:val="04A0" w:firstRow="1" w:lastRow="0" w:firstColumn="1" w:lastColumn="0" w:noHBand="0" w:noVBand="1"/>
      </w:tblPr>
      <w:tblGrid>
        <w:gridCol w:w="3356"/>
        <w:gridCol w:w="3357"/>
        <w:gridCol w:w="3357"/>
      </w:tblGrid>
      <w:tr w:rsidR="00AF2ED6" w:rsidRPr="002D7356" w14:paraId="1641B67A" w14:textId="77777777" w:rsidTr="009B23F5">
        <w:tc>
          <w:tcPr>
            <w:tcW w:w="3356" w:type="dxa"/>
            <w:shd w:val="clear" w:color="auto" w:fill="1F3864"/>
            <w:vAlign w:val="center"/>
          </w:tcPr>
          <w:p w14:paraId="7FED3BB1"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4B17FECB"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72969792" w14:textId="77777777" w:rsidR="00AF2ED6" w:rsidRPr="007572F7" w:rsidRDefault="00AF2ED6" w:rsidP="00DA7BB8">
            <w:pPr>
              <w:jc w:val="center"/>
              <w:rPr>
                <w:b/>
                <w:color w:val="FFFFFF" w:themeColor="background1"/>
                <w:sz w:val="28"/>
                <w:szCs w:val="28"/>
              </w:rPr>
            </w:pPr>
            <w:r w:rsidRPr="007572F7">
              <w:rPr>
                <w:b/>
                <w:color w:val="FFFFFF" w:themeColor="background1"/>
                <w:sz w:val="28"/>
                <w:szCs w:val="28"/>
              </w:rPr>
              <w:t>Categoría</w:t>
            </w:r>
          </w:p>
        </w:tc>
      </w:tr>
      <w:tr w:rsidR="00AF2ED6" w:rsidRPr="002D7356" w14:paraId="3DB9880D" w14:textId="77777777" w:rsidTr="009B23F5">
        <w:tc>
          <w:tcPr>
            <w:tcW w:w="3356" w:type="dxa"/>
            <w:vAlign w:val="center"/>
          </w:tcPr>
          <w:p w14:paraId="7202124D" w14:textId="77777777" w:rsidR="00AF2ED6" w:rsidRPr="00CA698F" w:rsidRDefault="00AF2ED6" w:rsidP="00DA7BB8">
            <w:pPr>
              <w:jc w:val="center"/>
            </w:pPr>
            <w:r w:rsidRPr="00CA698F">
              <w:t>Washington D.C.</w:t>
            </w:r>
          </w:p>
        </w:tc>
        <w:tc>
          <w:tcPr>
            <w:tcW w:w="3357" w:type="dxa"/>
            <w:vAlign w:val="center"/>
          </w:tcPr>
          <w:p w14:paraId="548505B6" w14:textId="77777777" w:rsidR="00AF2ED6" w:rsidRPr="00CA698F" w:rsidRDefault="00AF2ED6" w:rsidP="00DA7BB8">
            <w:pPr>
              <w:jc w:val="center"/>
            </w:pPr>
            <w:r w:rsidRPr="00CA698F">
              <w:t>Melrose Georgetown Hotel</w:t>
            </w:r>
          </w:p>
        </w:tc>
        <w:tc>
          <w:tcPr>
            <w:tcW w:w="3357" w:type="dxa"/>
            <w:vAlign w:val="center"/>
          </w:tcPr>
          <w:p w14:paraId="0E390D22" w14:textId="77777777" w:rsidR="00AF2ED6" w:rsidRPr="00CA698F" w:rsidRDefault="00AF2ED6" w:rsidP="00DA7BB8">
            <w:pPr>
              <w:jc w:val="center"/>
            </w:pPr>
            <w:r w:rsidRPr="00CA698F">
              <w:t>Primera</w:t>
            </w:r>
          </w:p>
        </w:tc>
      </w:tr>
      <w:tr w:rsidR="00AF2ED6" w:rsidRPr="002D7356" w14:paraId="2ABF38A5" w14:textId="77777777" w:rsidTr="009B23F5">
        <w:tc>
          <w:tcPr>
            <w:tcW w:w="3356" w:type="dxa"/>
            <w:vAlign w:val="center"/>
          </w:tcPr>
          <w:p w14:paraId="11A52521" w14:textId="77777777" w:rsidR="00AF2ED6" w:rsidRPr="00CA698F" w:rsidRDefault="00AF2ED6" w:rsidP="00DA7BB8">
            <w:pPr>
              <w:jc w:val="center"/>
            </w:pPr>
            <w:r w:rsidRPr="00CA698F">
              <w:t>Niágara Falls (USA)</w:t>
            </w:r>
          </w:p>
        </w:tc>
        <w:tc>
          <w:tcPr>
            <w:tcW w:w="3357" w:type="dxa"/>
            <w:vAlign w:val="center"/>
          </w:tcPr>
          <w:p w14:paraId="078E24A1" w14:textId="77777777" w:rsidR="00AF2ED6" w:rsidRPr="00CA698F" w:rsidRDefault="00AF2ED6" w:rsidP="00DA7BB8">
            <w:pPr>
              <w:jc w:val="center"/>
            </w:pPr>
            <w:r w:rsidRPr="00CA698F">
              <w:t>Sheraton Niagara Falls</w:t>
            </w:r>
          </w:p>
        </w:tc>
        <w:tc>
          <w:tcPr>
            <w:tcW w:w="3357" w:type="dxa"/>
            <w:vAlign w:val="center"/>
          </w:tcPr>
          <w:p w14:paraId="731FEC75" w14:textId="77777777" w:rsidR="00AF2ED6" w:rsidRDefault="00AF2ED6" w:rsidP="00DA7BB8">
            <w:pPr>
              <w:jc w:val="center"/>
            </w:pPr>
            <w:r w:rsidRPr="00CA698F">
              <w:t>Primera</w:t>
            </w:r>
          </w:p>
        </w:tc>
      </w:tr>
      <w:tr w:rsidR="00F56555" w:rsidRPr="002D7356" w14:paraId="3FB16777" w14:textId="77777777" w:rsidTr="009B23F5">
        <w:tc>
          <w:tcPr>
            <w:tcW w:w="3356" w:type="dxa"/>
            <w:vAlign w:val="center"/>
          </w:tcPr>
          <w:p w14:paraId="04ECDA67" w14:textId="77777777" w:rsidR="00F56555" w:rsidRPr="00CA698F" w:rsidRDefault="00F56555" w:rsidP="00DA7BB8">
            <w:pPr>
              <w:jc w:val="center"/>
            </w:pPr>
            <w:r>
              <w:t>Boston (Quincy)</w:t>
            </w:r>
          </w:p>
        </w:tc>
        <w:tc>
          <w:tcPr>
            <w:tcW w:w="3357" w:type="dxa"/>
            <w:vAlign w:val="center"/>
          </w:tcPr>
          <w:p w14:paraId="0D834756" w14:textId="77777777" w:rsidR="00F56555" w:rsidRPr="00CA698F" w:rsidRDefault="00F56555" w:rsidP="00DA7BB8">
            <w:pPr>
              <w:jc w:val="center"/>
            </w:pPr>
            <w:r w:rsidRPr="00F56555">
              <w:t>Marriott Boston Quincy</w:t>
            </w:r>
          </w:p>
        </w:tc>
        <w:tc>
          <w:tcPr>
            <w:tcW w:w="3357" w:type="dxa"/>
            <w:vAlign w:val="center"/>
          </w:tcPr>
          <w:p w14:paraId="00545E47" w14:textId="77777777" w:rsidR="00F56555" w:rsidRPr="00CA698F" w:rsidRDefault="00F56555" w:rsidP="00DA7BB8">
            <w:pPr>
              <w:jc w:val="center"/>
            </w:pPr>
            <w:r>
              <w:t>Primera</w:t>
            </w:r>
          </w:p>
        </w:tc>
      </w:tr>
    </w:tbl>
    <w:p w14:paraId="13DB1760" w14:textId="77777777" w:rsidR="00AF2ED6" w:rsidRDefault="00AF2ED6" w:rsidP="00AF2ED6">
      <w:pPr>
        <w:pStyle w:val="itinerario"/>
      </w:pPr>
    </w:p>
    <w:p w14:paraId="571C8940" w14:textId="407BEF03" w:rsidR="009B23F5" w:rsidRDefault="009B23F5" w:rsidP="00AF2ED6">
      <w:pPr>
        <w:pStyle w:val="itinerario"/>
      </w:pPr>
    </w:p>
    <w:p w14:paraId="6D8D1AC2" w14:textId="5948680E" w:rsidR="0060043B" w:rsidRDefault="0060043B" w:rsidP="00AF2ED6">
      <w:pPr>
        <w:pStyle w:val="itinerario"/>
      </w:pPr>
    </w:p>
    <w:p w14:paraId="49CCCA5C" w14:textId="507C0D21" w:rsidR="0060043B" w:rsidRDefault="0060043B" w:rsidP="00AF2ED6">
      <w:pPr>
        <w:pStyle w:val="itinerario"/>
      </w:pPr>
    </w:p>
    <w:p w14:paraId="42107F6F" w14:textId="0DF59401" w:rsidR="0060043B" w:rsidRDefault="0060043B" w:rsidP="00AF2ED6">
      <w:pPr>
        <w:pStyle w:val="itinerario"/>
      </w:pPr>
    </w:p>
    <w:p w14:paraId="213B9334" w14:textId="058AE525" w:rsidR="0060043B" w:rsidRDefault="0060043B" w:rsidP="00AF2ED6">
      <w:pPr>
        <w:pStyle w:val="itinerario"/>
      </w:pPr>
    </w:p>
    <w:p w14:paraId="3C857935" w14:textId="6787CC01" w:rsidR="0060043B" w:rsidRDefault="0060043B" w:rsidP="00AF2ED6">
      <w:pPr>
        <w:pStyle w:val="itinerario"/>
      </w:pPr>
    </w:p>
    <w:p w14:paraId="5FAA35D3" w14:textId="1FDFDC56" w:rsidR="0060043B" w:rsidRDefault="0060043B" w:rsidP="00AF2ED6">
      <w:pPr>
        <w:pStyle w:val="itinerario"/>
      </w:pPr>
    </w:p>
    <w:p w14:paraId="6A148C4E" w14:textId="31578DF7" w:rsidR="0060043B" w:rsidRDefault="0060043B" w:rsidP="00AF2ED6">
      <w:pPr>
        <w:pStyle w:val="itinerario"/>
      </w:pPr>
    </w:p>
    <w:p w14:paraId="06EDF95A" w14:textId="7283A325" w:rsidR="0060043B" w:rsidRDefault="0060043B" w:rsidP="00AF2ED6">
      <w:pPr>
        <w:pStyle w:val="itinerario"/>
      </w:pPr>
    </w:p>
    <w:p w14:paraId="3F16BE26" w14:textId="66898D72" w:rsidR="0060043B" w:rsidRDefault="0060043B" w:rsidP="00AF2ED6">
      <w:pPr>
        <w:pStyle w:val="itinerario"/>
      </w:pPr>
    </w:p>
    <w:p w14:paraId="46043FDB" w14:textId="2C128E8D" w:rsidR="0060043B" w:rsidRDefault="0060043B" w:rsidP="00AF2ED6">
      <w:pPr>
        <w:pStyle w:val="itinerario"/>
      </w:pPr>
    </w:p>
    <w:p w14:paraId="5EF37077" w14:textId="3C2E7CBE" w:rsidR="0060043B" w:rsidRDefault="0060043B" w:rsidP="00AF2ED6">
      <w:pPr>
        <w:pStyle w:val="itinerario"/>
      </w:pPr>
    </w:p>
    <w:p w14:paraId="5E7453FF" w14:textId="2FC748B6" w:rsidR="0060043B" w:rsidRDefault="0060043B" w:rsidP="00AF2ED6">
      <w:pPr>
        <w:pStyle w:val="itinerario"/>
      </w:pPr>
    </w:p>
    <w:p w14:paraId="0B3D3740" w14:textId="467D5084" w:rsidR="0060043B" w:rsidRDefault="0060043B" w:rsidP="00AF2ED6">
      <w:pPr>
        <w:pStyle w:val="itinerario"/>
      </w:pPr>
    </w:p>
    <w:p w14:paraId="5086AF9E" w14:textId="5A0C2E2B" w:rsidR="0060043B" w:rsidRDefault="0060043B" w:rsidP="00AF2ED6">
      <w:pPr>
        <w:pStyle w:val="itinerario"/>
      </w:pPr>
    </w:p>
    <w:p w14:paraId="2054056F" w14:textId="77777777" w:rsidR="0060043B" w:rsidRDefault="0060043B" w:rsidP="00AF2ED6">
      <w:pPr>
        <w:pStyle w:val="itinerario"/>
      </w:pPr>
    </w:p>
    <w:p w14:paraId="046696F5" w14:textId="77777777" w:rsidR="005B2CF0" w:rsidRDefault="005B2CF0" w:rsidP="005B2CF0">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5B2CF0" w:rsidRPr="0061190E" w14:paraId="6E940E47" w14:textId="77777777" w:rsidTr="00A06FCB">
        <w:tc>
          <w:tcPr>
            <w:tcW w:w="10060" w:type="dxa"/>
            <w:shd w:val="clear" w:color="auto" w:fill="1F3864"/>
          </w:tcPr>
          <w:p w14:paraId="6EB9F25F" w14:textId="77777777" w:rsidR="005B2CF0" w:rsidRPr="0061190E" w:rsidRDefault="005B2CF0" w:rsidP="00A06FCB">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40F49A60" w14:textId="77777777" w:rsidR="005B2CF0" w:rsidRPr="0061190E" w:rsidRDefault="005B2CF0" w:rsidP="005B2CF0">
      <w:pPr>
        <w:spacing w:before="0" w:after="0" w:line="0" w:lineRule="atLeast"/>
        <w:jc w:val="both"/>
        <w:rPr>
          <w:rFonts w:cs="Calibri"/>
          <w:szCs w:val="22"/>
        </w:rPr>
      </w:pPr>
    </w:p>
    <w:p w14:paraId="02D333F7"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7B7D2B19" w14:textId="77777777" w:rsidR="005B2CF0" w:rsidRPr="002A159D" w:rsidRDefault="005B2CF0" w:rsidP="005B2CF0">
      <w:pPr>
        <w:pStyle w:val="itinerario"/>
      </w:pPr>
      <w:r w:rsidRPr="002A159D">
        <w:t xml:space="preserve">La validez de las tarifas publicadas en cada uno de nuestros programas aplica hasta máximo el último día indicado en la vigencia.  </w:t>
      </w:r>
    </w:p>
    <w:p w14:paraId="0BEB49E9" w14:textId="77777777" w:rsidR="005B2CF0" w:rsidRPr="002A159D" w:rsidRDefault="005B2CF0" w:rsidP="005B2CF0">
      <w:pPr>
        <w:pStyle w:val="itinerario"/>
      </w:pPr>
    </w:p>
    <w:p w14:paraId="5C7F225F" w14:textId="77777777" w:rsidR="005B2CF0" w:rsidRPr="002A159D" w:rsidRDefault="005B2CF0" w:rsidP="005B2CF0">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14566F3B"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2F5E04E"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3DAB012E" w14:textId="77777777" w:rsidR="005B2CF0" w:rsidRPr="0061190E" w:rsidRDefault="005B2CF0" w:rsidP="005B2CF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4590A51" w14:textId="77777777" w:rsidR="005B2CF0" w:rsidRPr="0061190E" w:rsidRDefault="005B2CF0" w:rsidP="005B2CF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6ED9FA4"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251224BB"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4417DEB8"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62C808F1"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2F0BE60F"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85A57D" w14:textId="77777777" w:rsidR="005B2CF0" w:rsidRPr="0061190E" w:rsidRDefault="005B2CF0" w:rsidP="005B2CF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002A96AA" w14:textId="77777777" w:rsidR="005B2CF0" w:rsidRPr="00BA27BD" w:rsidRDefault="005B2CF0" w:rsidP="005B2CF0">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7CE29ABF"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1C578AED"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6579596C" w14:textId="77777777" w:rsidR="005B2CF0" w:rsidRPr="0061190E" w:rsidRDefault="005B2CF0" w:rsidP="005B2CF0">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7B686E54" w14:textId="77777777" w:rsidR="005B2CF0" w:rsidRPr="0061190E" w:rsidRDefault="005B2CF0" w:rsidP="005B2CF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05D9482" w14:textId="77777777" w:rsidR="005B2CF0" w:rsidRPr="0061190E" w:rsidRDefault="005B2CF0" w:rsidP="005B2CF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1173324" w14:textId="77777777" w:rsidR="005B2CF0" w:rsidRPr="0061190E" w:rsidRDefault="005B2CF0" w:rsidP="005B2CF0">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0211C5EC" w14:textId="77777777" w:rsidR="005B2CF0" w:rsidRDefault="005B2CF0" w:rsidP="005B2CF0">
      <w:pPr>
        <w:spacing w:before="240" w:after="0" w:line="120" w:lineRule="atLeast"/>
        <w:rPr>
          <w:rFonts w:cs="Calibri"/>
          <w:b/>
          <w:bCs/>
          <w:color w:val="1F3864"/>
          <w:sz w:val="28"/>
          <w:szCs w:val="28"/>
          <w:lang w:val="es-419"/>
        </w:rPr>
      </w:pPr>
    </w:p>
    <w:p w14:paraId="7EE29A0A"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563C7163" w14:textId="77777777" w:rsidR="005B2CF0" w:rsidRPr="0061190E" w:rsidRDefault="005B2CF0" w:rsidP="005B2CF0">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67D6C831"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35CAE8DA" w14:textId="77777777" w:rsidR="005B2CF0" w:rsidRPr="0061190E" w:rsidRDefault="005B2CF0" w:rsidP="005B2CF0">
      <w:pPr>
        <w:pStyle w:val="itinerario"/>
      </w:pPr>
      <w:r w:rsidRPr="0061190E">
        <w:t>Se requiere pago total de los servicios 25 días antes del inicio del circuito.</w:t>
      </w:r>
    </w:p>
    <w:p w14:paraId="4453BFFF"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5BF97A71" w14:textId="77777777" w:rsidR="005B2CF0" w:rsidRPr="002A159D" w:rsidRDefault="005B2CF0" w:rsidP="005B2CF0">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0CDB34F8"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508BC17E" w14:textId="77777777" w:rsidR="005B2CF0" w:rsidRPr="0061190E" w:rsidRDefault="005B2CF0" w:rsidP="005B2CF0">
      <w:pPr>
        <w:spacing w:before="0" w:after="0" w:line="0" w:lineRule="atLeast"/>
        <w:jc w:val="both"/>
        <w:rPr>
          <w:rFonts w:cs="Calibri"/>
          <w:szCs w:val="22"/>
        </w:rPr>
      </w:pPr>
      <w:r w:rsidRPr="0061190E">
        <w:rPr>
          <w:rFonts w:cs="Calibri"/>
          <w:szCs w:val="22"/>
        </w:rPr>
        <w:t xml:space="preserve">Se incurriría una penalización como sigue: </w:t>
      </w:r>
    </w:p>
    <w:p w14:paraId="1C8AEFD8" w14:textId="77777777" w:rsidR="005B2CF0" w:rsidRPr="0061190E" w:rsidRDefault="005B2CF0" w:rsidP="005B2CF0">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191FE89E" w14:textId="77777777" w:rsidR="005B2CF0" w:rsidRPr="0061190E" w:rsidRDefault="005B2CF0" w:rsidP="005B2CF0">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782BC33F" w14:textId="77777777" w:rsidR="005B2CF0" w:rsidRPr="0061190E" w:rsidRDefault="005B2CF0" w:rsidP="005B2CF0">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41EE3D86" w14:textId="77777777" w:rsidR="005B2CF0" w:rsidRPr="0061190E" w:rsidRDefault="005B2CF0" w:rsidP="005B2CF0">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6BBB1E69"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48A8F18"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52A04364"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9462B97" w14:textId="77777777" w:rsidR="005B2CF0" w:rsidRPr="0061190E" w:rsidRDefault="005B2CF0" w:rsidP="005B2CF0">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44033F02"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B9512EE"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104212F"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0679D10F" w14:textId="77777777" w:rsidR="005B2CF0" w:rsidRPr="0061190E" w:rsidRDefault="005B2CF0" w:rsidP="005B2CF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A55DCC8"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B039E34" w14:textId="77777777" w:rsidR="005B2CF0" w:rsidRPr="0061190E" w:rsidRDefault="005B2CF0" w:rsidP="005B2CF0">
      <w:pPr>
        <w:pStyle w:val="itinerario"/>
      </w:pPr>
      <w:r w:rsidRPr="0061190E">
        <w:t>Toda solicitud debe ser remitida por escrito dentro de los 20 días de finalizar los servicios, está sujeta a verificación, pasada esta fecha no serán válidos.</w:t>
      </w:r>
    </w:p>
    <w:p w14:paraId="74D8F78C" w14:textId="77777777" w:rsidR="005B2CF0" w:rsidRPr="0061190E" w:rsidRDefault="005B2CF0" w:rsidP="005B2CF0">
      <w:pPr>
        <w:pStyle w:val="itinerario"/>
      </w:pPr>
    </w:p>
    <w:p w14:paraId="429D9AB7" w14:textId="77777777" w:rsidR="005B2CF0" w:rsidRPr="0061190E" w:rsidRDefault="005B2CF0" w:rsidP="005B2CF0">
      <w:pPr>
        <w:pStyle w:val="itinerario"/>
      </w:pPr>
      <w:r w:rsidRPr="0061190E">
        <w:t>Los servicios no utilizados no serán reembolsables.</w:t>
      </w:r>
    </w:p>
    <w:p w14:paraId="334524D7"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EA31515" w14:textId="77777777" w:rsidR="005B2CF0" w:rsidRPr="0061190E" w:rsidRDefault="005B2CF0" w:rsidP="005B2CF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516CC3AF"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549BF08E" w14:textId="77777777" w:rsidR="005B2CF0" w:rsidRPr="0061190E" w:rsidRDefault="005B2CF0" w:rsidP="005B2CF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D686B92"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9F3C723" w14:textId="77777777" w:rsidR="005B2CF0" w:rsidRPr="0061190E" w:rsidRDefault="005B2CF0" w:rsidP="005B2CF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82B5060" w14:textId="77777777" w:rsidR="005B2CF0" w:rsidRPr="0061190E" w:rsidRDefault="005B2CF0" w:rsidP="005B2CF0">
      <w:pPr>
        <w:pStyle w:val="itinerario"/>
      </w:pPr>
    </w:p>
    <w:p w14:paraId="00B7315F" w14:textId="77777777" w:rsidR="005B2CF0" w:rsidRPr="0061190E" w:rsidRDefault="005B2CF0" w:rsidP="005B2CF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EEDA95C"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E86E977" w14:textId="77777777" w:rsidR="005B2CF0" w:rsidRPr="0061190E" w:rsidRDefault="005B2CF0" w:rsidP="005B2CF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8B764AB"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1E9DBB9B" w14:textId="77777777" w:rsidR="005B2CF0" w:rsidRPr="0061190E" w:rsidRDefault="005B2CF0" w:rsidP="005B2CF0">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432E7BA" w14:textId="77777777" w:rsidR="005B2CF0" w:rsidRPr="0061190E" w:rsidRDefault="005B2CF0" w:rsidP="005B2CF0">
      <w:pPr>
        <w:pStyle w:val="itinerario"/>
      </w:pPr>
    </w:p>
    <w:p w14:paraId="4FF089CF" w14:textId="77777777" w:rsidR="005B2CF0" w:rsidRPr="0061190E" w:rsidRDefault="005B2CF0" w:rsidP="005B2CF0">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59E3AFBA" w14:textId="77777777" w:rsidR="005B2CF0" w:rsidRPr="0061190E" w:rsidRDefault="005B2CF0" w:rsidP="005B2CF0">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0ED95122"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420A41AB" w14:textId="77777777" w:rsidR="005B2CF0" w:rsidRPr="0061190E" w:rsidRDefault="005B2CF0" w:rsidP="005B2CF0">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1E861F6E" w14:textId="77777777" w:rsidR="005B2CF0" w:rsidRPr="0061190E" w:rsidRDefault="005B2CF0" w:rsidP="005B2CF0">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1A707E6E" w14:textId="77777777" w:rsidR="005B2CF0" w:rsidRPr="0061190E" w:rsidRDefault="005B2CF0" w:rsidP="005B2CF0">
      <w:pPr>
        <w:pStyle w:val="itinerario"/>
      </w:pPr>
      <w:r w:rsidRPr="0061190E">
        <w:t>Los guías suelen hacer las paradas a las horas de las comidas en sitios donde se pueda comer a precios asequibles.</w:t>
      </w:r>
    </w:p>
    <w:p w14:paraId="68AEEFAA" w14:textId="77777777" w:rsidR="005B2CF0" w:rsidRPr="0061190E" w:rsidRDefault="005B2CF0" w:rsidP="005B2CF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A2D4552" w14:textId="77777777" w:rsidR="005B2CF0" w:rsidRPr="0061190E" w:rsidRDefault="005B2CF0" w:rsidP="005B2CF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55C9183B"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1EB3672D" w14:textId="77777777" w:rsidR="005B2CF0" w:rsidRPr="0061190E" w:rsidRDefault="005B2CF0" w:rsidP="005B2CF0">
      <w:pPr>
        <w:pStyle w:val="itinerario"/>
      </w:pPr>
      <w:r w:rsidRPr="0061190E">
        <w:t>Serán ofrecidos directamente por los Guías durante el circuito.</w:t>
      </w:r>
    </w:p>
    <w:p w14:paraId="6389F7B9"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EF14DE6" w14:textId="77777777" w:rsidR="005B2CF0" w:rsidRPr="0061190E" w:rsidRDefault="005B2CF0" w:rsidP="005B2CF0">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A46344A" w14:textId="77777777" w:rsidR="005B2CF0" w:rsidRPr="0061190E" w:rsidRDefault="005B2CF0" w:rsidP="005B2CF0">
      <w:pPr>
        <w:pStyle w:val="itinerario"/>
      </w:pPr>
    </w:p>
    <w:p w14:paraId="0250DC85" w14:textId="77777777" w:rsidR="005B2CF0" w:rsidRPr="0061190E" w:rsidRDefault="005B2CF0" w:rsidP="005B2CF0">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7328816D" w14:textId="77777777" w:rsidR="005B2CF0" w:rsidRPr="0061190E" w:rsidRDefault="005B2CF0" w:rsidP="005B2CF0">
      <w:pPr>
        <w:pStyle w:val="itinerario"/>
      </w:pPr>
    </w:p>
    <w:p w14:paraId="73FA2BC2" w14:textId="77777777" w:rsidR="005B2CF0" w:rsidRPr="0061190E" w:rsidRDefault="005B2CF0" w:rsidP="005B2CF0">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5F6D974D" w14:textId="77777777" w:rsidR="005B2CF0" w:rsidRPr="0061190E" w:rsidRDefault="005B2CF0" w:rsidP="005B2CF0">
      <w:pPr>
        <w:pStyle w:val="itinerario"/>
      </w:pPr>
    </w:p>
    <w:p w14:paraId="0A525F7C" w14:textId="77777777" w:rsidR="005B2CF0" w:rsidRPr="0061190E" w:rsidRDefault="005B2CF0" w:rsidP="005B2CF0">
      <w:pPr>
        <w:pStyle w:val="itinerario"/>
      </w:pPr>
      <w:r w:rsidRPr="0061190E">
        <w:t>"Carry on", o "maleta ejecutiva" NO cuenta como maletín de mano, se considera maleta regular.</w:t>
      </w:r>
    </w:p>
    <w:p w14:paraId="1525CADA"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65E3C683" w14:textId="77777777" w:rsidR="005B2CF0" w:rsidRPr="0061190E" w:rsidRDefault="005B2CF0" w:rsidP="005B2CF0">
      <w:pPr>
        <w:pStyle w:val="itinerario"/>
      </w:pPr>
      <w:r w:rsidRPr="0061190E">
        <w:t>Cuando se habla de guía, nos referimos a guías locales del país que se visita, que le acompañaran en el circuito y/o en las excursiones. Nunca se hace refiere al guía acompañante desde Colombia.</w:t>
      </w:r>
    </w:p>
    <w:p w14:paraId="6E438E11"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30AE1365" w14:textId="77777777" w:rsidR="005B2CF0" w:rsidRPr="0061190E" w:rsidRDefault="005B2CF0" w:rsidP="005B2CF0">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12ACEDA"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024E4DC7" w14:textId="77777777" w:rsidR="005B2CF0" w:rsidRPr="0061190E" w:rsidRDefault="005B2CF0" w:rsidP="005B2CF0">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110A70D6" w14:textId="77777777" w:rsidR="005B2CF0" w:rsidRPr="0061190E" w:rsidRDefault="005B2CF0" w:rsidP="005B2CF0">
      <w:pPr>
        <w:pStyle w:val="itinerario"/>
      </w:pPr>
    </w:p>
    <w:p w14:paraId="5897754B" w14:textId="77777777" w:rsidR="005B2CF0" w:rsidRPr="0061190E" w:rsidRDefault="005B2CF0" w:rsidP="005B2CF0">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457BADE4" w14:textId="77777777" w:rsidR="005B2CF0" w:rsidRPr="0061190E" w:rsidRDefault="005B2CF0" w:rsidP="005B2CF0">
      <w:pPr>
        <w:pStyle w:val="itinerario"/>
      </w:pPr>
    </w:p>
    <w:p w14:paraId="34CAD008" w14:textId="77777777" w:rsidR="005B2CF0" w:rsidRPr="0061190E" w:rsidRDefault="005B2CF0" w:rsidP="005B2CF0">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639B9254" w14:textId="77777777" w:rsidR="005B2CF0" w:rsidRPr="0061190E" w:rsidRDefault="005B2CF0" w:rsidP="005B2CF0">
      <w:pPr>
        <w:pStyle w:val="itinerario"/>
      </w:pPr>
    </w:p>
    <w:p w14:paraId="62498F08" w14:textId="77777777" w:rsidR="005B2CF0" w:rsidRPr="0061190E" w:rsidRDefault="005B2CF0" w:rsidP="005B2CF0">
      <w:pPr>
        <w:pStyle w:val="itinerario"/>
      </w:pPr>
      <w:r w:rsidRPr="0061190E">
        <w:t>En determinados periodos pueden suceder que el alojamiento no se efectué en los hoteles publicados sino en otros alternativos de similar categoría.</w:t>
      </w:r>
    </w:p>
    <w:p w14:paraId="3B01230A" w14:textId="77777777" w:rsidR="005B2CF0" w:rsidRDefault="005B2CF0" w:rsidP="005B2CF0">
      <w:pPr>
        <w:pStyle w:val="itinerario"/>
        <w:rPr>
          <w:b/>
          <w:bCs/>
          <w:caps/>
          <w:color w:val="1F3864"/>
          <w:sz w:val="28"/>
          <w:szCs w:val="28"/>
          <w:lang w:val="es-419"/>
        </w:rPr>
      </w:pPr>
    </w:p>
    <w:p w14:paraId="35A9F726"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547B2F57" w14:textId="77777777" w:rsidR="005B2CF0" w:rsidRPr="0061190E" w:rsidRDefault="005B2CF0" w:rsidP="005B2CF0">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14D401D6"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2457316E" w14:textId="77777777" w:rsidR="005B2CF0" w:rsidRPr="0061190E" w:rsidRDefault="005B2CF0" w:rsidP="005B2CF0">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401015C3" w14:textId="77777777" w:rsidR="005B2CF0" w:rsidRPr="0061190E" w:rsidRDefault="005B2CF0" w:rsidP="005B2CF0">
      <w:pPr>
        <w:pStyle w:val="itinerario"/>
      </w:pPr>
    </w:p>
    <w:p w14:paraId="441FBAA6" w14:textId="77777777" w:rsidR="005B2CF0" w:rsidRPr="0061190E" w:rsidRDefault="005B2CF0" w:rsidP="005B2CF0">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10483FDC" w14:textId="77777777" w:rsidR="005B2CF0" w:rsidRPr="0061190E" w:rsidRDefault="005B2CF0" w:rsidP="005B2CF0">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1108D492" wp14:editId="1ACF9179">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3EC68E53"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624ED0DB" w14:textId="77777777" w:rsidR="005B2CF0" w:rsidRPr="0061190E" w:rsidRDefault="005B2CF0" w:rsidP="005B2CF0">
      <w:pPr>
        <w:pStyle w:val="itinerario"/>
      </w:pPr>
      <w:r w:rsidRPr="0061190E">
        <w:t>El valor de niños aplica hasta los 15 años (Únicamente donde se indique). Algunos circuitos no aceptan niños, favor revisar donde se especifica claramente.</w:t>
      </w:r>
    </w:p>
    <w:p w14:paraId="04AF3F13"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2136364" w14:textId="77777777" w:rsidR="005B2CF0" w:rsidRPr="0061190E" w:rsidRDefault="005B2CF0" w:rsidP="005B2CF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CD8C29A" w14:textId="77777777" w:rsidR="005B2CF0" w:rsidRPr="0061190E" w:rsidRDefault="005B2CF0" w:rsidP="005B2CF0">
      <w:pPr>
        <w:pStyle w:val="itinerario"/>
        <w:rPr>
          <w:lang w:val="es-419"/>
        </w:rPr>
      </w:pPr>
    </w:p>
    <w:p w14:paraId="32AE6E87" w14:textId="77777777" w:rsidR="005B2CF0" w:rsidRPr="0061190E" w:rsidRDefault="005B2CF0" w:rsidP="005B2CF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8D3100D"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41BA8DB" w14:textId="77777777" w:rsidR="005B2CF0" w:rsidRPr="0061190E" w:rsidRDefault="005B2CF0" w:rsidP="005B2CF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4297CC7" w14:textId="77777777" w:rsidR="005B2CF0" w:rsidRDefault="005B2CF0" w:rsidP="005B2CF0">
      <w:pPr>
        <w:spacing w:before="240" w:after="0" w:line="120" w:lineRule="atLeast"/>
        <w:rPr>
          <w:rFonts w:cs="Calibri"/>
          <w:b/>
          <w:bCs/>
          <w:color w:val="1F3864"/>
          <w:sz w:val="28"/>
          <w:szCs w:val="28"/>
          <w:lang w:val="es-419"/>
        </w:rPr>
      </w:pPr>
    </w:p>
    <w:p w14:paraId="36A4A002"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649B2BAA" w14:textId="77777777" w:rsidR="005B2CF0" w:rsidRPr="0061190E" w:rsidRDefault="005B2CF0" w:rsidP="005B2CF0">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2FE708C7" w14:textId="77777777" w:rsidR="005B2CF0" w:rsidRPr="0061190E" w:rsidRDefault="005B2CF0" w:rsidP="005B2CF0">
      <w:pPr>
        <w:pStyle w:val="itinerario"/>
      </w:pPr>
    </w:p>
    <w:p w14:paraId="4D4882F9" w14:textId="77777777" w:rsidR="005B2CF0" w:rsidRPr="0061190E" w:rsidRDefault="005B2CF0" w:rsidP="005B2CF0">
      <w:pPr>
        <w:pStyle w:val="itinerario"/>
      </w:pPr>
      <w:r w:rsidRPr="0061190E">
        <w:t xml:space="preserve">La propina es parte de la cultura en casi todas las ciudades del mundo. En los precios no están incluidas las propinas en hoteles, aeropuertos, guías, conductores, restaurantes. </w:t>
      </w:r>
    </w:p>
    <w:p w14:paraId="71D56BA3" w14:textId="77777777" w:rsidR="005B2CF0" w:rsidRPr="0061190E" w:rsidRDefault="005B2CF0" w:rsidP="005B2CF0">
      <w:pPr>
        <w:pStyle w:val="itinerario"/>
      </w:pPr>
    </w:p>
    <w:p w14:paraId="238F3C9C" w14:textId="77777777" w:rsidR="005B2CF0" w:rsidRPr="0061190E" w:rsidRDefault="005B2CF0" w:rsidP="005B2CF0">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4914F1D5"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38E44F5" w14:textId="77777777" w:rsidR="005B2CF0" w:rsidRPr="0061190E" w:rsidRDefault="005B2CF0" w:rsidP="005B2CF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3F836E8"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45F3C32" w14:textId="77777777" w:rsidR="005B2CF0" w:rsidRPr="006B7978" w:rsidRDefault="005B2CF0" w:rsidP="005B2CF0">
      <w:pPr>
        <w:pStyle w:val="itinerario"/>
      </w:pPr>
      <w:r w:rsidRPr="006B7978">
        <w:t>A la llegada a los hoteles en la recepción se solicita a los pasajeros dar como garantía la Tarjeta de Crédito para sus gastos extras.</w:t>
      </w:r>
    </w:p>
    <w:p w14:paraId="749522CD" w14:textId="77777777" w:rsidR="005B2CF0" w:rsidRPr="006B7978" w:rsidRDefault="005B2CF0" w:rsidP="005B2CF0">
      <w:pPr>
        <w:pStyle w:val="itinerario"/>
      </w:pPr>
    </w:p>
    <w:p w14:paraId="18650E1B" w14:textId="77777777" w:rsidR="005B2CF0" w:rsidRPr="006B7978" w:rsidRDefault="005B2CF0" w:rsidP="005B2CF0">
      <w:pPr>
        <w:pStyle w:val="itinerario"/>
      </w:pPr>
      <w:r w:rsidRPr="006B7978">
        <w:t>Es muy importante que a su salida revise los cargos que se han efectuado a su tarjeta ya que son de absoluta responsabilidad de cada pasajero.</w:t>
      </w:r>
    </w:p>
    <w:p w14:paraId="77DAF08E"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54B741E" w14:textId="77777777" w:rsidR="005B2CF0" w:rsidRPr="0061190E" w:rsidRDefault="005B2CF0" w:rsidP="005B2CF0">
      <w:pPr>
        <w:pStyle w:val="itinerario"/>
      </w:pPr>
      <w:r w:rsidRPr="0061190E">
        <w:t>En caso de anomalías o deficiencia en algunos de los servicios deberá informar inmediatamente al prestatario de los mismos, corresponsal local o bien directamente a All Reps. WhatsApp +57 312 4470822.</w:t>
      </w:r>
    </w:p>
    <w:p w14:paraId="5AB2788A" w14:textId="77777777" w:rsidR="005B2CF0" w:rsidRPr="0061190E" w:rsidRDefault="005B2CF0" w:rsidP="005B2CF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BC73794" w14:textId="77777777" w:rsidR="005B2CF0" w:rsidRPr="0061190E" w:rsidRDefault="005B2CF0" w:rsidP="005B2CF0">
      <w:pPr>
        <w:pStyle w:val="itinerario"/>
      </w:pPr>
      <w:r w:rsidRPr="0061190E">
        <w:t>Pueden ser solicitadas vía email:</w:t>
      </w:r>
    </w:p>
    <w:p w14:paraId="74ABDC63" w14:textId="77777777" w:rsidR="005B2CF0" w:rsidRPr="0061190E" w:rsidRDefault="00856034" w:rsidP="005B2CF0">
      <w:pPr>
        <w:numPr>
          <w:ilvl w:val="0"/>
          <w:numId w:val="11"/>
        </w:numPr>
        <w:spacing w:line="0" w:lineRule="atLeast"/>
        <w:ind w:left="714" w:hanging="357"/>
        <w:contextualSpacing/>
        <w:rPr>
          <w:rFonts w:cs="Calibri"/>
          <w:szCs w:val="22"/>
          <w:lang w:val="es-419"/>
        </w:rPr>
      </w:pPr>
      <w:hyperlink r:id="rId10" w:history="1">
        <w:r w:rsidR="005B2CF0" w:rsidRPr="0061190E">
          <w:rPr>
            <w:rFonts w:cs="Calibri"/>
            <w:color w:val="0000FF"/>
            <w:szCs w:val="22"/>
            <w:u w:val="single"/>
            <w:lang w:val="es-419"/>
          </w:rPr>
          <w:t>asesor1@allreps.com</w:t>
        </w:r>
      </w:hyperlink>
    </w:p>
    <w:p w14:paraId="0032C7F1" w14:textId="77777777" w:rsidR="005B2CF0" w:rsidRPr="0061190E" w:rsidRDefault="00856034" w:rsidP="005B2CF0">
      <w:pPr>
        <w:numPr>
          <w:ilvl w:val="0"/>
          <w:numId w:val="11"/>
        </w:numPr>
        <w:spacing w:line="0" w:lineRule="atLeast"/>
        <w:ind w:left="714" w:hanging="357"/>
        <w:contextualSpacing/>
        <w:rPr>
          <w:rFonts w:cs="Calibri"/>
          <w:szCs w:val="22"/>
          <w:lang w:val="es-419"/>
        </w:rPr>
      </w:pPr>
      <w:hyperlink r:id="rId11" w:history="1">
        <w:r w:rsidR="005B2CF0" w:rsidRPr="0061190E">
          <w:rPr>
            <w:rFonts w:cs="Calibri"/>
            <w:color w:val="0000FF"/>
            <w:szCs w:val="22"/>
            <w:u w:val="single"/>
            <w:lang w:val="es-419"/>
          </w:rPr>
          <w:t>asesor3@allreps.com</w:t>
        </w:r>
      </w:hyperlink>
    </w:p>
    <w:p w14:paraId="372D1356" w14:textId="77777777" w:rsidR="005B2CF0" w:rsidRPr="0061190E" w:rsidRDefault="005B2CF0" w:rsidP="005B2CF0">
      <w:pPr>
        <w:spacing w:before="0" w:after="0" w:line="0" w:lineRule="atLeast"/>
        <w:jc w:val="both"/>
        <w:rPr>
          <w:rFonts w:cs="Calibri"/>
          <w:szCs w:val="22"/>
        </w:rPr>
      </w:pPr>
    </w:p>
    <w:p w14:paraId="574B9938" w14:textId="77777777" w:rsidR="005B2CF0" w:rsidRPr="006B7978" w:rsidRDefault="005B2CF0" w:rsidP="005B2CF0">
      <w:pPr>
        <w:pStyle w:val="itinerario"/>
      </w:pPr>
      <w:r w:rsidRPr="006B7978">
        <w:t>O telefónicamente a través de nuestra oficina en Bogotá.</w:t>
      </w:r>
    </w:p>
    <w:p w14:paraId="0A41CC71" w14:textId="77777777" w:rsidR="005B2CF0" w:rsidRPr="006B7978" w:rsidRDefault="005B2CF0" w:rsidP="005B2CF0">
      <w:pPr>
        <w:pStyle w:val="itinerario"/>
      </w:pPr>
    </w:p>
    <w:p w14:paraId="194CCF63" w14:textId="77777777" w:rsidR="005B2CF0" w:rsidRPr="006B7978" w:rsidRDefault="005B2CF0" w:rsidP="005B2CF0">
      <w:pPr>
        <w:pStyle w:val="itinerario"/>
      </w:pPr>
      <w:r w:rsidRPr="006B7978">
        <w:t>Al reservar niños se debe informar la edad.</w:t>
      </w:r>
    </w:p>
    <w:p w14:paraId="32BCD59E" w14:textId="77777777" w:rsidR="005B2CF0" w:rsidRDefault="005B2CF0" w:rsidP="005B2CF0">
      <w:pPr>
        <w:spacing w:before="240" w:after="0" w:line="120" w:lineRule="atLeast"/>
        <w:jc w:val="both"/>
        <w:rPr>
          <w:rFonts w:cs="Calibri"/>
          <w:b/>
          <w:bCs/>
          <w:color w:val="1F3864"/>
          <w:sz w:val="28"/>
          <w:szCs w:val="28"/>
          <w:lang w:val="es-419"/>
        </w:rPr>
      </w:pPr>
    </w:p>
    <w:p w14:paraId="115BE146" w14:textId="77777777" w:rsidR="005B2CF0" w:rsidRDefault="005B2CF0" w:rsidP="005B2CF0">
      <w:pPr>
        <w:spacing w:before="240" w:after="0" w:line="120" w:lineRule="atLeast"/>
        <w:jc w:val="both"/>
        <w:rPr>
          <w:rFonts w:cs="Calibri"/>
          <w:b/>
          <w:bCs/>
          <w:color w:val="1F3864"/>
          <w:sz w:val="28"/>
          <w:szCs w:val="28"/>
          <w:lang w:val="es-419"/>
        </w:rPr>
      </w:pPr>
    </w:p>
    <w:p w14:paraId="0CDDE9DD" w14:textId="77777777" w:rsidR="005B2CF0" w:rsidRDefault="005B2CF0" w:rsidP="005B2CF0">
      <w:pPr>
        <w:spacing w:before="240" w:after="0" w:line="120" w:lineRule="atLeast"/>
        <w:jc w:val="both"/>
        <w:rPr>
          <w:rFonts w:cs="Calibri"/>
          <w:b/>
          <w:bCs/>
          <w:color w:val="1F3864"/>
          <w:sz w:val="28"/>
          <w:szCs w:val="28"/>
          <w:lang w:val="es-419"/>
        </w:rPr>
      </w:pPr>
    </w:p>
    <w:p w14:paraId="386175F0" w14:textId="77777777" w:rsidR="005B2CF0" w:rsidRDefault="005B2CF0" w:rsidP="005B2CF0">
      <w:pPr>
        <w:spacing w:before="240" w:after="0" w:line="120" w:lineRule="atLeast"/>
        <w:jc w:val="both"/>
        <w:rPr>
          <w:rFonts w:cs="Calibri"/>
          <w:b/>
          <w:bCs/>
          <w:color w:val="1F3864"/>
          <w:sz w:val="28"/>
          <w:szCs w:val="28"/>
          <w:lang w:val="es-419"/>
        </w:rPr>
      </w:pPr>
    </w:p>
    <w:p w14:paraId="0DF649F0" w14:textId="77777777" w:rsidR="005B2CF0" w:rsidRPr="0061190E" w:rsidRDefault="005B2CF0" w:rsidP="005B2CF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3C7F362F" w14:textId="77777777" w:rsidR="005B2CF0" w:rsidRPr="0061190E" w:rsidRDefault="005B2CF0" w:rsidP="005B2CF0">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4E732D" w14:textId="77777777" w:rsidR="005B2CF0" w:rsidRPr="0061190E" w:rsidRDefault="005B2CF0" w:rsidP="005B2CF0">
      <w:pPr>
        <w:pStyle w:val="itinerario"/>
      </w:pPr>
    </w:p>
    <w:p w14:paraId="17A577D7" w14:textId="77777777" w:rsidR="005B2CF0" w:rsidRPr="0061190E" w:rsidRDefault="005B2CF0" w:rsidP="005B2CF0">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1F33B90" w14:textId="77777777" w:rsidR="005B2CF0" w:rsidRPr="0061190E" w:rsidRDefault="005B2CF0" w:rsidP="005B2CF0">
      <w:pPr>
        <w:pStyle w:val="itinerario"/>
      </w:pPr>
    </w:p>
    <w:p w14:paraId="2B40CF97" w14:textId="77777777" w:rsidR="005B2CF0" w:rsidRPr="0061190E" w:rsidRDefault="005B2CF0" w:rsidP="005B2CF0">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7068AA3F" w14:textId="77777777" w:rsidR="005B2CF0" w:rsidRPr="0061190E" w:rsidRDefault="005B2CF0" w:rsidP="005B2CF0">
      <w:pPr>
        <w:pStyle w:val="itinerario"/>
      </w:pPr>
    </w:p>
    <w:p w14:paraId="7A581D48" w14:textId="77777777" w:rsidR="005B2CF0" w:rsidRPr="0061190E" w:rsidRDefault="005B2CF0" w:rsidP="005B2CF0">
      <w:pPr>
        <w:pStyle w:val="itinerario"/>
      </w:pPr>
      <w:r w:rsidRPr="0061190E">
        <w:t>All Reps no asume ninguna responsabilidad, en el caso que la información del cliente no sea suministrada, no sea cierta o se omitan circunstancias reales.</w:t>
      </w:r>
    </w:p>
    <w:p w14:paraId="216850AA" w14:textId="77777777" w:rsidR="005B2CF0" w:rsidRPr="0061190E" w:rsidRDefault="005B2CF0" w:rsidP="005B2CF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39EB46D3" w14:textId="77777777" w:rsidR="005B2CF0" w:rsidRPr="0061190E" w:rsidRDefault="005B2CF0" w:rsidP="005B2CF0">
      <w:pPr>
        <w:spacing w:before="0" w:after="0" w:line="0" w:lineRule="atLeast"/>
        <w:jc w:val="both"/>
        <w:rPr>
          <w:rFonts w:cs="Calibri"/>
          <w:szCs w:val="22"/>
          <w:lang w:eastAsia="es-CO"/>
        </w:rPr>
      </w:pPr>
    </w:p>
    <w:p w14:paraId="1208E7EB"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7AB5DEFC" w14:textId="77777777" w:rsidR="005B2CF0" w:rsidRPr="0061190E" w:rsidRDefault="005B2CF0" w:rsidP="005B2CF0">
      <w:pPr>
        <w:pStyle w:val="itinerario"/>
        <w:rPr>
          <w:lang w:eastAsia="es-CO"/>
        </w:rPr>
      </w:pPr>
    </w:p>
    <w:p w14:paraId="2E3867BA" w14:textId="77777777" w:rsidR="005B2CF0" w:rsidRPr="0061190E" w:rsidRDefault="005B2CF0" w:rsidP="005B2CF0">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44F01FEA" w14:textId="77777777" w:rsidR="005B2CF0" w:rsidRPr="0061190E" w:rsidRDefault="005B2CF0" w:rsidP="005B2CF0">
      <w:pPr>
        <w:pStyle w:val="itinerario"/>
        <w:rPr>
          <w:lang w:eastAsia="es-CO"/>
        </w:rPr>
      </w:pPr>
    </w:p>
    <w:p w14:paraId="4B052993" w14:textId="77777777" w:rsidR="005B2CF0" w:rsidRPr="0061190E" w:rsidRDefault="005B2CF0" w:rsidP="005B2CF0">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018D6E1" w14:textId="77777777" w:rsidR="005B2CF0" w:rsidRPr="0061190E" w:rsidRDefault="005B2CF0" w:rsidP="005B2CF0">
      <w:pPr>
        <w:pStyle w:val="itinerario"/>
        <w:rPr>
          <w:lang w:eastAsia="es-CO"/>
        </w:rPr>
      </w:pPr>
    </w:p>
    <w:p w14:paraId="73F82D7B" w14:textId="77777777" w:rsidR="005B2CF0" w:rsidRPr="0061190E" w:rsidRDefault="005B2CF0" w:rsidP="005B2CF0">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2F5CD49" w14:textId="77777777" w:rsidR="005B2CF0" w:rsidRPr="0061190E" w:rsidRDefault="005B2CF0" w:rsidP="005B2CF0">
      <w:pPr>
        <w:pStyle w:val="itinerario"/>
        <w:rPr>
          <w:lang w:eastAsia="es-CO"/>
        </w:rPr>
      </w:pPr>
    </w:p>
    <w:p w14:paraId="7AD117E6" w14:textId="77777777" w:rsidR="005B2CF0" w:rsidRPr="0061190E" w:rsidRDefault="005B2CF0" w:rsidP="005B2CF0">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8EBD1A" w14:textId="77777777" w:rsidR="005B2CF0" w:rsidRPr="0061190E" w:rsidRDefault="005B2CF0" w:rsidP="005B2CF0">
      <w:pPr>
        <w:pStyle w:val="itinerario"/>
        <w:rPr>
          <w:lang w:eastAsia="es-CO"/>
        </w:rPr>
      </w:pPr>
    </w:p>
    <w:p w14:paraId="78F973AC" w14:textId="77777777" w:rsidR="005B2CF0" w:rsidRPr="0061190E" w:rsidRDefault="005B2CF0" w:rsidP="005B2CF0">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4D77689" w14:textId="77777777" w:rsidR="005B2CF0" w:rsidRPr="0061190E" w:rsidRDefault="005B2CF0" w:rsidP="005B2CF0">
      <w:pPr>
        <w:pStyle w:val="itinerario"/>
        <w:rPr>
          <w:lang w:eastAsia="es-CO"/>
        </w:rPr>
      </w:pPr>
    </w:p>
    <w:p w14:paraId="28EB32B9" w14:textId="77777777" w:rsidR="005B2CF0" w:rsidRPr="0061190E" w:rsidRDefault="005B2CF0" w:rsidP="005B2CF0">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205AB96" w14:textId="77777777" w:rsidR="005B2CF0" w:rsidRPr="0061190E" w:rsidRDefault="005B2CF0" w:rsidP="005B2CF0">
      <w:pPr>
        <w:pStyle w:val="itinerario"/>
        <w:rPr>
          <w:lang w:eastAsia="es-CO"/>
        </w:rPr>
      </w:pPr>
    </w:p>
    <w:p w14:paraId="0E94852B" w14:textId="77777777" w:rsidR="005B2CF0" w:rsidRPr="0061190E" w:rsidRDefault="005B2CF0" w:rsidP="005B2CF0">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2C576C5" w14:textId="77777777" w:rsidR="005B2CF0" w:rsidRPr="0061190E" w:rsidRDefault="005B2CF0" w:rsidP="005B2CF0">
      <w:pPr>
        <w:pStyle w:val="itinerario"/>
        <w:rPr>
          <w:lang w:eastAsia="es-CO"/>
        </w:rPr>
      </w:pPr>
    </w:p>
    <w:p w14:paraId="1C6A4D98"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52F7498" w14:textId="77777777" w:rsidR="005B2CF0" w:rsidRPr="0061190E" w:rsidRDefault="005B2CF0" w:rsidP="005B2CF0">
      <w:pPr>
        <w:pStyle w:val="itinerario"/>
        <w:rPr>
          <w:lang w:eastAsia="es-CO"/>
        </w:rPr>
      </w:pPr>
    </w:p>
    <w:p w14:paraId="7898C3C8" w14:textId="77777777" w:rsidR="005B2CF0" w:rsidRPr="0061190E" w:rsidRDefault="005B2CF0" w:rsidP="005B2CF0">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179BC453" w14:textId="77777777" w:rsidR="005B2CF0" w:rsidRPr="0061190E" w:rsidRDefault="005B2CF0" w:rsidP="005B2CF0">
      <w:pPr>
        <w:pStyle w:val="itinerario"/>
        <w:rPr>
          <w:lang w:eastAsia="es-CO"/>
        </w:rPr>
      </w:pPr>
    </w:p>
    <w:p w14:paraId="4DC75096" w14:textId="77777777" w:rsidR="005B2CF0" w:rsidRPr="0061190E" w:rsidRDefault="005B2CF0" w:rsidP="005B2CF0">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726B5950" w14:textId="77777777" w:rsidR="005B2CF0" w:rsidRPr="0061190E" w:rsidRDefault="005B2CF0" w:rsidP="005B2CF0">
      <w:pPr>
        <w:pStyle w:val="itinerario"/>
        <w:rPr>
          <w:lang w:eastAsia="es-CO"/>
        </w:rPr>
      </w:pPr>
    </w:p>
    <w:p w14:paraId="1B4E5590"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3546C3" w14:textId="77777777" w:rsidR="005B2CF0" w:rsidRPr="0061190E" w:rsidRDefault="005B2CF0" w:rsidP="005B2CF0">
      <w:pPr>
        <w:pStyle w:val="itinerario"/>
        <w:rPr>
          <w:lang w:eastAsia="es-CO"/>
        </w:rPr>
      </w:pPr>
    </w:p>
    <w:p w14:paraId="41E86B53" w14:textId="77777777" w:rsidR="005B2CF0" w:rsidRDefault="005B2CF0" w:rsidP="005B2CF0">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0C6A29BE" w14:textId="77777777" w:rsidR="005B2CF0" w:rsidRPr="0061190E" w:rsidRDefault="005B2CF0" w:rsidP="005B2CF0">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5FD028A7" w14:textId="77777777" w:rsidR="005B2CF0" w:rsidRPr="0061190E" w:rsidRDefault="005B2CF0" w:rsidP="005B2CF0">
      <w:pPr>
        <w:pStyle w:val="itinerario"/>
        <w:rPr>
          <w:lang w:eastAsia="es-CO"/>
        </w:rPr>
      </w:pPr>
    </w:p>
    <w:p w14:paraId="4FB46536" w14:textId="77777777" w:rsidR="005B2CF0" w:rsidRPr="0061190E" w:rsidRDefault="005B2CF0" w:rsidP="005B2CF0">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69B9A96" w14:textId="77777777" w:rsidR="005B2CF0" w:rsidRPr="0061190E" w:rsidRDefault="005B2CF0" w:rsidP="005B2CF0">
      <w:pPr>
        <w:pStyle w:val="itinerario"/>
        <w:rPr>
          <w:lang w:eastAsia="es-CO"/>
        </w:rPr>
      </w:pPr>
    </w:p>
    <w:p w14:paraId="2A8661C2" w14:textId="77777777" w:rsidR="005B2CF0" w:rsidRPr="0061190E" w:rsidRDefault="005B2CF0" w:rsidP="005B2CF0">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0610D39" w14:textId="77777777" w:rsidR="005B2CF0" w:rsidRPr="0061190E" w:rsidRDefault="005B2CF0" w:rsidP="005B2CF0">
      <w:pPr>
        <w:pStyle w:val="itinerario"/>
        <w:rPr>
          <w:lang w:eastAsia="es-CO"/>
        </w:rPr>
      </w:pPr>
    </w:p>
    <w:p w14:paraId="2644EA99" w14:textId="77777777" w:rsidR="005B2CF0" w:rsidRPr="0061190E" w:rsidRDefault="005B2CF0" w:rsidP="005B2CF0">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CE8AD7A" w14:textId="77777777" w:rsidR="005B2CF0" w:rsidRPr="0061190E" w:rsidRDefault="005B2CF0" w:rsidP="005B2CF0">
      <w:pPr>
        <w:pStyle w:val="itinerario"/>
        <w:rPr>
          <w:lang w:eastAsia="es-CO"/>
        </w:rPr>
      </w:pPr>
    </w:p>
    <w:p w14:paraId="4553E488" w14:textId="77777777" w:rsidR="005B2CF0" w:rsidRPr="0061190E" w:rsidRDefault="005B2CF0" w:rsidP="005B2CF0">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730CA0" w14:textId="77777777" w:rsidR="005B2CF0" w:rsidRPr="0061190E" w:rsidRDefault="005B2CF0" w:rsidP="005B2CF0">
      <w:pPr>
        <w:pStyle w:val="itinerario"/>
        <w:rPr>
          <w:lang w:eastAsia="es-CO"/>
        </w:rPr>
      </w:pPr>
    </w:p>
    <w:p w14:paraId="5EB81A15" w14:textId="77777777" w:rsidR="005B2CF0" w:rsidRPr="0061190E" w:rsidRDefault="005B2CF0" w:rsidP="005B2CF0">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CD8E2A" w14:textId="77777777" w:rsidR="005B2CF0" w:rsidRPr="0061190E" w:rsidRDefault="005B2CF0" w:rsidP="005B2CF0">
      <w:pPr>
        <w:pStyle w:val="itinerario"/>
        <w:rPr>
          <w:lang w:eastAsia="es-CO"/>
        </w:rPr>
      </w:pPr>
    </w:p>
    <w:p w14:paraId="03D3C8BD" w14:textId="77777777" w:rsidR="005B2CF0" w:rsidRPr="0061190E" w:rsidRDefault="005B2CF0" w:rsidP="005B2CF0">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6EC8A837" w14:textId="77777777" w:rsidR="005B2CF0" w:rsidRPr="0061190E" w:rsidRDefault="005B2CF0" w:rsidP="005B2CF0">
      <w:pPr>
        <w:pStyle w:val="itinerario"/>
        <w:rPr>
          <w:lang w:eastAsia="es-CO"/>
        </w:rPr>
      </w:pPr>
    </w:p>
    <w:p w14:paraId="22EA309B" w14:textId="77777777" w:rsidR="005B2CF0" w:rsidRPr="0061190E" w:rsidRDefault="005B2CF0" w:rsidP="005B2CF0">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D577012" w14:textId="77777777" w:rsidR="005B2CF0" w:rsidRPr="0061190E" w:rsidRDefault="005B2CF0" w:rsidP="005B2CF0">
      <w:pPr>
        <w:pStyle w:val="itinerario"/>
        <w:rPr>
          <w:lang w:eastAsia="es-CO"/>
        </w:rPr>
      </w:pPr>
    </w:p>
    <w:p w14:paraId="6E731A22" w14:textId="77777777" w:rsidR="005B2CF0" w:rsidRPr="0061190E" w:rsidRDefault="005B2CF0" w:rsidP="005B2CF0">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0BE8203" w14:textId="77777777" w:rsidR="005B2CF0" w:rsidRPr="0061190E" w:rsidRDefault="005B2CF0" w:rsidP="005B2CF0">
      <w:pPr>
        <w:pStyle w:val="itinerario"/>
        <w:rPr>
          <w:lang w:eastAsia="es-CO"/>
        </w:rPr>
      </w:pPr>
    </w:p>
    <w:p w14:paraId="378E8A14" w14:textId="77777777" w:rsidR="005B2CF0" w:rsidRPr="0061190E" w:rsidRDefault="005B2CF0" w:rsidP="005B2CF0">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7253E4B3" w14:textId="77777777" w:rsidR="005B2CF0" w:rsidRPr="0061190E" w:rsidRDefault="005B2CF0" w:rsidP="005B2CF0">
      <w:pPr>
        <w:pStyle w:val="itinerario"/>
        <w:rPr>
          <w:lang w:eastAsia="es-CO"/>
        </w:rPr>
      </w:pPr>
    </w:p>
    <w:p w14:paraId="17799327"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w:t>
      </w:r>
      <w:r w:rsidRPr="0061190E">
        <w:rPr>
          <w:lang w:eastAsia="es-CO"/>
        </w:rPr>
        <w:lastRenderedPageBreak/>
        <w:t>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E0EF6D7" w14:textId="77777777" w:rsidR="005B2CF0" w:rsidRPr="0061190E" w:rsidRDefault="005B2CF0" w:rsidP="005B2CF0">
      <w:pPr>
        <w:pStyle w:val="itinerario"/>
        <w:rPr>
          <w:lang w:eastAsia="es-CO"/>
        </w:rPr>
      </w:pPr>
    </w:p>
    <w:p w14:paraId="0F206E60" w14:textId="77777777" w:rsidR="005B2CF0" w:rsidRPr="0061190E" w:rsidRDefault="005B2CF0" w:rsidP="005B2CF0">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A370B4D" w14:textId="77777777" w:rsidR="005B2CF0" w:rsidRPr="0061190E" w:rsidRDefault="005B2CF0" w:rsidP="005B2CF0">
      <w:pPr>
        <w:pStyle w:val="itinerario"/>
        <w:rPr>
          <w:lang w:eastAsia="es-CO"/>
        </w:rPr>
      </w:pPr>
    </w:p>
    <w:p w14:paraId="5CB96C2D" w14:textId="77777777" w:rsidR="005B2CF0" w:rsidRPr="0061190E" w:rsidRDefault="005B2CF0" w:rsidP="005B2CF0">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5077E711" w14:textId="77777777" w:rsidR="005B2CF0" w:rsidRPr="0061190E" w:rsidRDefault="005B2CF0" w:rsidP="005B2CF0">
      <w:pPr>
        <w:pStyle w:val="itinerario"/>
        <w:rPr>
          <w:lang w:eastAsia="es-CO"/>
        </w:rPr>
      </w:pPr>
    </w:p>
    <w:p w14:paraId="22E86685"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8B1D302" w14:textId="77777777" w:rsidR="005B2CF0" w:rsidRPr="0061190E" w:rsidRDefault="005B2CF0" w:rsidP="005B2CF0">
      <w:pPr>
        <w:pStyle w:val="itinerario"/>
        <w:rPr>
          <w:lang w:eastAsia="es-CO"/>
        </w:rPr>
      </w:pPr>
    </w:p>
    <w:p w14:paraId="68F8D3A2" w14:textId="77777777" w:rsidR="005B2CF0" w:rsidRPr="0061190E" w:rsidRDefault="005B2CF0" w:rsidP="005B2CF0">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2CDBDAE0" w14:textId="77777777" w:rsidR="005B2CF0" w:rsidRPr="0061190E" w:rsidRDefault="005B2CF0" w:rsidP="005B2CF0">
      <w:pPr>
        <w:pStyle w:val="itinerario"/>
        <w:rPr>
          <w:lang w:eastAsia="es-CO"/>
        </w:rPr>
      </w:pPr>
    </w:p>
    <w:p w14:paraId="096881DE" w14:textId="77777777" w:rsidR="005B2CF0" w:rsidRPr="0061190E" w:rsidRDefault="005B2CF0" w:rsidP="005B2CF0">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94AE7DC" w14:textId="77777777" w:rsidR="005B2CF0" w:rsidRPr="0061190E" w:rsidRDefault="005B2CF0" w:rsidP="005B2CF0">
      <w:pPr>
        <w:pStyle w:val="itinerario"/>
        <w:rPr>
          <w:lang w:eastAsia="es-CO"/>
        </w:rPr>
      </w:pPr>
    </w:p>
    <w:p w14:paraId="19AD9DF8" w14:textId="77777777" w:rsidR="005B2CF0" w:rsidRPr="0061190E" w:rsidRDefault="005B2CF0" w:rsidP="005B2CF0">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3491EBAA" w14:textId="77777777" w:rsidR="005B2CF0" w:rsidRPr="0061190E" w:rsidRDefault="005B2CF0" w:rsidP="005B2CF0">
      <w:pPr>
        <w:pStyle w:val="itinerario"/>
        <w:rPr>
          <w:lang w:eastAsia="es-CO"/>
        </w:rPr>
      </w:pPr>
    </w:p>
    <w:p w14:paraId="5D0AB7EA" w14:textId="77777777" w:rsidR="005B2CF0" w:rsidRPr="0061190E" w:rsidRDefault="005B2CF0" w:rsidP="005B2CF0">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F3E8011" w14:textId="77777777" w:rsidR="005B2CF0" w:rsidRPr="0061190E" w:rsidRDefault="005B2CF0" w:rsidP="005B2CF0">
      <w:pPr>
        <w:pStyle w:val="itinerario"/>
        <w:rPr>
          <w:lang w:eastAsia="es-CO"/>
        </w:rPr>
      </w:pPr>
    </w:p>
    <w:p w14:paraId="1BC41A3E" w14:textId="77777777" w:rsidR="005B2CF0" w:rsidRPr="0061190E" w:rsidRDefault="005B2CF0" w:rsidP="005B2CF0">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4D2F7EFC" w14:textId="77777777" w:rsidR="005B2CF0" w:rsidRPr="0061190E" w:rsidRDefault="005B2CF0" w:rsidP="005B2CF0">
      <w:pPr>
        <w:pStyle w:val="itinerario"/>
        <w:rPr>
          <w:lang w:eastAsia="es-CO"/>
        </w:rPr>
      </w:pPr>
    </w:p>
    <w:p w14:paraId="322767CF" w14:textId="77777777" w:rsidR="005B2CF0" w:rsidRPr="0061190E" w:rsidRDefault="005B2CF0" w:rsidP="005B2CF0">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w:t>
      </w:r>
      <w:r w:rsidRPr="0061190E">
        <w:rPr>
          <w:lang w:eastAsia="es-CO"/>
        </w:rPr>
        <w:lastRenderedPageBreak/>
        <w:t xml:space="preserve">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CC63702" w14:textId="77777777" w:rsidR="005B2CF0" w:rsidRPr="0061190E" w:rsidRDefault="005B2CF0" w:rsidP="005B2CF0">
      <w:pPr>
        <w:pStyle w:val="itinerario"/>
        <w:rPr>
          <w:lang w:eastAsia="es-CO"/>
        </w:rPr>
      </w:pPr>
    </w:p>
    <w:p w14:paraId="4B391427" w14:textId="77777777" w:rsidR="005B2CF0" w:rsidRPr="0061190E" w:rsidRDefault="005B2CF0" w:rsidP="005B2CF0">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67C7007F" w14:textId="77777777" w:rsidR="005B2CF0" w:rsidRPr="0061190E" w:rsidRDefault="005B2CF0" w:rsidP="005B2CF0">
      <w:pPr>
        <w:pStyle w:val="itinerario"/>
        <w:rPr>
          <w:lang w:eastAsia="es-CO"/>
        </w:rPr>
      </w:pPr>
    </w:p>
    <w:p w14:paraId="586AEA4B" w14:textId="77777777" w:rsidR="005B2CF0" w:rsidRPr="0061190E" w:rsidRDefault="005B2CF0" w:rsidP="005B2CF0">
      <w:pPr>
        <w:pStyle w:val="itinerario"/>
        <w:rPr>
          <w:b/>
          <w:lang w:eastAsia="es-CO"/>
        </w:rPr>
      </w:pPr>
      <w:r w:rsidRPr="0061190E">
        <w:rPr>
          <w:b/>
          <w:lang w:eastAsia="es-CO"/>
        </w:rPr>
        <w:t>Actualización:</w:t>
      </w:r>
    </w:p>
    <w:p w14:paraId="18AB1724" w14:textId="77777777" w:rsidR="005B2CF0" w:rsidRPr="0061190E" w:rsidRDefault="005B2CF0" w:rsidP="005B2CF0">
      <w:pPr>
        <w:pStyle w:val="itinerario"/>
        <w:rPr>
          <w:b/>
          <w:lang w:eastAsia="es-CO"/>
        </w:rPr>
      </w:pPr>
      <w:r w:rsidRPr="0061190E">
        <w:rPr>
          <w:b/>
          <w:lang w:eastAsia="es-CO"/>
        </w:rPr>
        <w:t>06-01-23</w:t>
      </w:r>
    </w:p>
    <w:p w14:paraId="76A37606" w14:textId="77777777" w:rsidR="005B2CF0" w:rsidRPr="0061190E" w:rsidRDefault="005B2CF0" w:rsidP="005B2CF0">
      <w:pPr>
        <w:pStyle w:val="itinerario"/>
        <w:rPr>
          <w:b/>
          <w:lang w:eastAsia="es-CO"/>
        </w:rPr>
      </w:pPr>
      <w:r w:rsidRPr="0061190E">
        <w:rPr>
          <w:b/>
          <w:lang w:eastAsia="es-CO"/>
        </w:rPr>
        <w:t>Revisada parte legal.</w:t>
      </w:r>
    </w:p>
    <w:p w14:paraId="77F3BBFD" w14:textId="77777777" w:rsidR="005B2CF0" w:rsidRPr="0061190E" w:rsidRDefault="005B2CF0" w:rsidP="005B2CF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C7FC3D5" w14:textId="77777777" w:rsidR="005B2CF0" w:rsidRPr="0061190E" w:rsidRDefault="005B2CF0" w:rsidP="005B2CF0">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2C88A403" w14:textId="77777777" w:rsidR="005B2CF0" w:rsidRPr="007F4802" w:rsidRDefault="005B2CF0" w:rsidP="005B2CF0">
      <w:pPr>
        <w:pStyle w:val="itinerario"/>
      </w:pPr>
    </w:p>
    <w:p w14:paraId="77C60CB0" w14:textId="77777777" w:rsidR="00E35DC3" w:rsidRPr="007F4802" w:rsidRDefault="00E35DC3" w:rsidP="005B2CF0">
      <w:pPr>
        <w:spacing w:before="0" w:after="0" w:line="0" w:lineRule="atLeast"/>
        <w:jc w:val="both"/>
      </w:pPr>
    </w:p>
    <w:sectPr w:rsidR="00E35DC3" w:rsidRPr="007F4802" w:rsidSect="00B74534">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34A4" w14:textId="77777777" w:rsidR="00DD526A" w:rsidRDefault="00DD526A" w:rsidP="00AC7E3C">
      <w:pPr>
        <w:spacing w:after="0" w:line="240" w:lineRule="auto"/>
      </w:pPr>
      <w:r>
        <w:separator/>
      </w:r>
    </w:p>
  </w:endnote>
  <w:endnote w:type="continuationSeparator" w:id="0">
    <w:p w14:paraId="2B0133C6" w14:textId="77777777" w:rsidR="00DD526A" w:rsidRDefault="00DD526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4660" w14:textId="77777777" w:rsidR="008869FD" w:rsidRDefault="008869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AB3" w14:textId="77777777" w:rsidR="00922273" w:rsidRDefault="009222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B868" w14:textId="77777777" w:rsidR="008869FD" w:rsidRDefault="00886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BFBB" w14:textId="77777777" w:rsidR="00DD526A" w:rsidRDefault="00DD526A" w:rsidP="00AC7E3C">
      <w:pPr>
        <w:spacing w:after="0" w:line="240" w:lineRule="auto"/>
      </w:pPr>
      <w:r>
        <w:separator/>
      </w:r>
    </w:p>
  </w:footnote>
  <w:footnote w:type="continuationSeparator" w:id="0">
    <w:p w14:paraId="1462A646" w14:textId="77777777" w:rsidR="00DD526A" w:rsidRDefault="00DD526A" w:rsidP="00AC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4557" w14:textId="77777777" w:rsidR="008869FD" w:rsidRDefault="008869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8723" w14:textId="77777777" w:rsidR="008869FD" w:rsidRDefault="008869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5657" w14:textId="77777777" w:rsidR="008869FD" w:rsidRDefault="008869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AB4515"/>
    <w:multiLevelType w:val="hybridMultilevel"/>
    <w:tmpl w:val="099ADA64"/>
    <w:lvl w:ilvl="0" w:tplc="7DF0C108">
      <w:start w:val="2"/>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BA0F4C"/>
    <w:multiLevelType w:val="hybridMultilevel"/>
    <w:tmpl w:val="14DCA382"/>
    <w:lvl w:ilvl="0" w:tplc="8F44C638">
      <w:start w:val="1"/>
      <w:numFmt w:val="bullet"/>
      <w:lvlText w:val=""/>
      <w:lvlJc w:val="left"/>
      <w:pPr>
        <w:ind w:left="107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5"/>
  </w:num>
  <w:num w:numId="14">
    <w:abstractNumId w:val="10"/>
  </w:num>
  <w:num w:numId="15">
    <w:abstractNumId w:val="16"/>
  </w:num>
  <w:num w:numId="16">
    <w:abstractNumId w:val="7"/>
  </w:num>
  <w:num w:numId="17">
    <w:abstractNumId w:val="1"/>
  </w:num>
  <w:num w:numId="18">
    <w:abstractNumId w:val="6"/>
  </w:num>
  <w:num w:numId="19">
    <w:abstractNumId w:val="14"/>
  </w:num>
  <w:num w:numId="20">
    <w:abstractNumId w:val="18"/>
  </w:num>
  <w:num w:numId="21">
    <w:abstractNumId w:val="5"/>
  </w:num>
  <w:num w:numId="22">
    <w:abstractNumId w:val="3"/>
  </w:num>
  <w:num w:numId="23">
    <w:abstractNumId w:val="11"/>
  </w:num>
  <w:num w:numId="24">
    <w:abstractNumId w:val="12"/>
  </w:num>
  <w:num w:numId="25">
    <w:abstractNumId w:val="2"/>
  </w:num>
  <w:num w:numId="26">
    <w:abstractNumId w:val="1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1680"/>
    <w:rsid w:val="00012D41"/>
    <w:rsid w:val="000147B1"/>
    <w:rsid w:val="00027516"/>
    <w:rsid w:val="00035023"/>
    <w:rsid w:val="000359D4"/>
    <w:rsid w:val="000412D8"/>
    <w:rsid w:val="00042A8C"/>
    <w:rsid w:val="00046094"/>
    <w:rsid w:val="0005010B"/>
    <w:rsid w:val="00050548"/>
    <w:rsid w:val="000530A9"/>
    <w:rsid w:val="00053A5A"/>
    <w:rsid w:val="0005451C"/>
    <w:rsid w:val="00067E1B"/>
    <w:rsid w:val="0007013F"/>
    <w:rsid w:val="00071F99"/>
    <w:rsid w:val="00072D20"/>
    <w:rsid w:val="0009108B"/>
    <w:rsid w:val="000A11BA"/>
    <w:rsid w:val="000B3E79"/>
    <w:rsid w:val="000C2752"/>
    <w:rsid w:val="000C552B"/>
    <w:rsid w:val="000D4A70"/>
    <w:rsid w:val="000E6A21"/>
    <w:rsid w:val="000F421D"/>
    <w:rsid w:val="000F6068"/>
    <w:rsid w:val="00102C23"/>
    <w:rsid w:val="00104438"/>
    <w:rsid w:val="0011183C"/>
    <w:rsid w:val="00133B34"/>
    <w:rsid w:val="00133FF0"/>
    <w:rsid w:val="001344F7"/>
    <w:rsid w:val="001419A2"/>
    <w:rsid w:val="00141ED2"/>
    <w:rsid w:val="00146C07"/>
    <w:rsid w:val="00160F92"/>
    <w:rsid w:val="001A378A"/>
    <w:rsid w:val="001B3726"/>
    <w:rsid w:val="001B720E"/>
    <w:rsid w:val="001E1DF5"/>
    <w:rsid w:val="001E2B89"/>
    <w:rsid w:val="002014E9"/>
    <w:rsid w:val="002020E9"/>
    <w:rsid w:val="00204E65"/>
    <w:rsid w:val="002120D5"/>
    <w:rsid w:val="002127E9"/>
    <w:rsid w:val="00237DB3"/>
    <w:rsid w:val="0024379F"/>
    <w:rsid w:val="00253688"/>
    <w:rsid w:val="00257E57"/>
    <w:rsid w:val="00270960"/>
    <w:rsid w:val="00276F52"/>
    <w:rsid w:val="00282F88"/>
    <w:rsid w:val="002958FD"/>
    <w:rsid w:val="00296AC4"/>
    <w:rsid w:val="00297347"/>
    <w:rsid w:val="002C1F46"/>
    <w:rsid w:val="002C7618"/>
    <w:rsid w:val="002C7D84"/>
    <w:rsid w:val="002D3E62"/>
    <w:rsid w:val="002D4A51"/>
    <w:rsid w:val="002E1B8C"/>
    <w:rsid w:val="002F51AB"/>
    <w:rsid w:val="00303A48"/>
    <w:rsid w:val="003051ED"/>
    <w:rsid w:val="00311C09"/>
    <w:rsid w:val="00316225"/>
    <w:rsid w:val="00317602"/>
    <w:rsid w:val="0035021B"/>
    <w:rsid w:val="00356B44"/>
    <w:rsid w:val="00366910"/>
    <w:rsid w:val="00372444"/>
    <w:rsid w:val="00372F26"/>
    <w:rsid w:val="00374FCB"/>
    <w:rsid w:val="0038017F"/>
    <w:rsid w:val="0038536A"/>
    <w:rsid w:val="00397A89"/>
    <w:rsid w:val="003C113F"/>
    <w:rsid w:val="003C5F5A"/>
    <w:rsid w:val="003D2676"/>
    <w:rsid w:val="003D7C27"/>
    <w:rsid w:val="003E0404"/>
    <w:rsid w:val="003E25CE"/>
    <w:rsid w:val="003F0BD2"/>
    <w:rsid w:val="003F20E4"/>
    <w:rsid w:val="003F6576"/>
    <w:rsid w:val="00413BAE"/>
    <w:rsid w:val="0041736B"/>
    <w:rsid w:val="00440F84"/>
    <w:rsid w:val="004426F5"/>
    <w:rsid w:val="004453C8"/>
    <w:rsid w:val="004454E4"/>
    <w:rsid w:val="00447AD3"/>
    <w:rsid w:val="004540A7"/>
    <w:rsid w:val="0045446A"/>
    <w:rsid w:val="00456BE0"/>
    <w:rsid w:val="00457D4D"/>
    <w:rsid w:val="0046254B"/>
    <w:rsid w:val="00465D2E"/>
    <w:rsid w:val="00467059"/>
    <w:rsid w:val="0047391D"/>
    <w:rsid w:val="004755BC"/>
    <w:rsid w:val="00476065"/>
    <w:rsid w:val="00480AF1"/>
    <w:rsid w:val="00492785"/>
    <w:rsid w:val="00493AB2"/>
    <w:rsid w:val="004B79EA"/>
    <w:rsid w:val="004B7B6E"/>
    <w:rsid w:val="004C2017"/>
    <w:rsid w:val="004E25F6"/>
    <w:rsid w:val="004F77AB"/>
    <w:rsid w:val="0050046A"/>
    <w:rsid w:val="00505A31"/>
    <w:rsid w:val="005106D9"/>
    <w:rsid w:val="0051503F"/>
    <w:rsid w:val="005162AC"/>
    <w:rsid w:val="005208C4"/>
    <w:rsid w:val="00541943"/>
    <w:rsid w:val="00544C98"/>
    <w:rsid w:val="00550C16"/>
    <w:rsid w:val="00550E71"/>
    <w:rsid w:val="005545D0"/>
    <w:rsid w:val="00556CB9"/>
    <w:rsid w:val="005571D0"/>
    <w:rsid w:val="0055744B"/>
    <w:rsid w:val="0056079F"/>
    <w:rsid w:val="005624BA"/>
    <w:rsid w:val="00562D63"/>
    <w:rsid w:val="00565268"/>
    <w:rsid w:val="0056653D"/>
    <w:rsid w:val="00574621"/>
    <w:rsid w:val="00575080"/>
    <w:rsid w:val="0058765E"/>
    <w:rsid w:val="00595B70"/>
    <w:rsid w:val="005B065D"/>
    <w:rsid w:val="005B2CF0"/>
    <w:rsid w:val="005C047B"/>
    <w:rsid w:val="005C695A"/>
    <w:rsid w:val="005D03DC"/>
    <w:rsid w:val="005E0021"/>
    <w:rsid w:val="005F1C32"/>
    <w:rsid w:val="005F44CF"/>
    <w:rsid w:val="0060043B"/>
    <w:rsid w:val="00607CB6"/>
    <w:rsid w:val="00634F91"/>
    <w:rsid w:val="00650EAA"/>
    <w:rsid w:val="006543BD"/>
    <w:rsid w:val="00656A3F"/>
    <w:rsid w:val="00660740"/>
    <w:rsid w:val="00670641"/>
    <w:rsid w:val="0067147D"/>
    <w:rsid w:val="006A56AE"/>
    <w:rsid w:val="006C3FA2"/>
    <w:rsid w:val="006C701A"/>
    <w:rsid w:val="006E09B4"/>
    <w:rsid w:val="00700B7E"/>
    <w:rsid w:val="007075FC"/>
    <w:rsid w:val="007248E1"/>
    <w:rsid w:val="007410AD"/>
    <w:rsid w:val="00742BC3"/>
    <w:rsid w:val="007436A9"/>
    <w:rsid w:val="0074475A"/>
    <w:rsid w:val="00745160"/>
    <w:rsid w:val="00745747"/>
    <w:rsid w:val="007524D4"/>
    <w:rsid w:val="00753085"/>
    <w:rsid w:val="007559BD"/>
    <w:rsid w:val="00772E4C"/>
    <w:rsid w:val="00776C06"/>
    <w:rsid w:val="00793179"/>
    <w:rsid w:val="007A5678"/>
    <w:rsid w:val="007B014F"/>
    <w:rsid w:val="007C2D3F"/>
    <w:rsid w:val="007C4FBE"/>
    <w:rsid w:val="007D54D2"/>
    <w:rsid w:val="007D6E46"/>
    <w:rsid w:val="007D7B3D"/>
    <w:rsid w:val="007D7C53"/>
    <w:rsid w:val="007E203B"/>
    <w:rsid w:val="007E485C"/>
    <w:rsid w:val="007E654E"/>
    <w:rsid w:val="0080748D"/>
    <w:rsid w:val="0081177C"/>
    <w:rsid w:val="00813B62"/>
    <w:rsid w:val="00830C6F"/>
    <w:rsid w:val="008417A6"/>
    <w:rsid w:val="00856034"/>
    <w:rsid w:val="008569BA"/>
    <w:rsid w:val="0086684D"/>
    <w:rsid w:val="00883E87"/>
    <w:rsid w:val="008857A6"/>
    <w:rsid w:val="00885A27"/>
    <w:rsid w:val="008869FD"/>
    <w:rsid w:val="00893741"/>
    <w:rsid w:val="008A5239"/>
    <w:rsid w:val="008A7298"/>
    <w:rsid w:val="008C251A"/>
    <w:rsid w:val="008C6D28"/>
    <w:rsid w:val="008D0944"/>
    <w:rsid w:val="008D4C2C"/>
    <w:rsid w:val="008D56A5"/>
    <w:rsid w:val="008E3454"/>
    <w:rsid w:val="008E4AC6"/>
    <w:rsid w:val="008E7A8F"/>
    <w:rsid w:val="008E7CA9"/>
    <w:rsid w:val="008F1D53"/>
    <w:rsid w:val="008F6489"/>
    <w:rsid w:val="008F6823"/>
    <w:rsid w:val="008F6DB1"/>
    <w:rsid w:val="00914B0D"/>
    <w:rsid w:val="00915312"/>
    <w:rsid w:val="009158E9"/>
    <w:rsid w:val="00921F71"/>
    <w:rsid w:val="00922273"/>
    <w:rsid w:val="00924410"/>
    <w:rsid w:val="0092472A"/>
    <w:rsid w:val="0092580A"/>
    <w:rsid w:val="00934248"/>
    <w:rsid w:val="00935925"/>
    <w:rsid w:val="00935D8F"/>
    <w:rsid w:val="00941692"/>
    <w:rsid w:val="00942658"/>
    <w:rsid w:val="00964561"/>
    <w:rsid w:val="009657E7"/>
    <w:rsid w:val="009831EC"/>
    <w:rsid w:val="009A074E"/>
    <w:rsid w:val="009A3429"/>
    <w:rsid w:val="009B1AEF"/>
    <w:rsid w:val="009B23F5"/>
    <w:rsid w:val="009B5309"/>
    <w:rsid w:val="009C3556"/>
    <w:rsid w:val="009D409F"/>
    <w:rsid w:val="009E0585"/>
    <w:rsid w:val="00A02AA1"/>
    <w:rsid w:val="00A15426"/>
    <w:rsid w:val="00A21912"/>
    <w:rsid w:val="00A320FB"/>
    <w:rsid w:val="00A3479E"/>
    <w:rsid w:val="00A34AD4"/>
    <w:rsid w:val="00A4287F"/>
    <w:rsid w:val="00A62C0E"/>
    <w:rsid w:val="00A73188"/>
    <w:rsid w:val="00A76B36"/>
    <w:rsid w:val="00A8230E"/>
    <w:rsid w:val="00AB50AE"/>
    <w:rsid w:val="00AB77E6"/>
    <w:rsid w:val="00AC54CB"/>
    <w:rsid w:val="00AC6660"/>
    <w:rsid w:val="00AC7E3C"/>
    <w:rsid w:val="00AD6A0F"/>
    <w:rsid w:val="00AE0C81"/>
    <w:rsid w:val="00AE1A6A"/>
    <w:rsid w:val="00AE2622"/>
    <w:rsid w:val="00AE7AB8"/>
    <w:rsid w:val="00AE7D63"/>
    <w:rsid w:val="00AF12C8"/>
    <w:rsid w:val="00AF26DA"/>
    <w:rsid w:val="00AF291D"/>
    <w:rsid w:val="00AF2ED6"/>
    <w:rsid w:val="00B02222"/>
    <w:rsid w:val="00B03F4D"/>
    <w:rsid w:val="00B05AEB"/>
    <w:rsid w:val="00B060FB"/>
    <w:rsid w:val="00B11641"/>
    <w:rsid w:val="00B236E7"/>
    <w:rsid w:val="00B257B5"/>
    <w:rsid w:val="00B378C1"/>
    <w:rsid w:val="00B54BDB"/>
    <w:rsid w:val="00B57E66"/>
    <w:rsid w:val="00B70CE8"/>
    <w:rsid w:val="00B74534"/>
    <w:rsid w:val="00B80AEB"/>
    <w:rsid w:val="00B830EA"/>
    <w:rsid w:val="00B8722B"/>
    <w:rsid w:val="00B90498"/>
    <w:rsid w:val="00BB05A6"/>
    <w:rsid w:val="00BB5DB2"/>
    <w:rsid w:val="00BC0CA2"/>
    <w:rsid w:val="00BC2713"/>
    <w:rsid w:val="00BC35EC"/>
    <w:rsid w:val="00BC4D8D"/>
    <w:rsid w:val="00BC5CBE"/>
    <w:rsid w:val="00BE2A33"/>
    <w:rsid w:val="00BF0531"/>
    <w:rsid w:val="00BF6359"/>
    <w:rsid w:val="00C02265"/>
    <w:rsid w:val="00C2195F"/>
    <w:rsid w:val="00C21C39"/>
    <w:rsid w:val="00C26785"/>
    <w:rsid w:val="00C30571"/>
    <w:rsid w:val="00C3715A"/>
    <w:rsid w:val="00C40DA4"/>
    <w:rsid w:val="00C66226"/>
    <w:rsid w:val="00C6779F"/>
    <w:rsid w:val="00C67E9C"/>
    <w:rsid w:val="00C76A20"/>
    <w:rsid w:val="00C82BC6"/>
    <w:rsid w:val="00C83982"/>
    <w:rsid w:val="00C83A29"/>
    <w:rsid w:val="00C94BED"/>
    <w:rsid w:val="00C9600D"/>
    <w:rsid w:val="00CB760B"/>
    <w:rsid w:val="00CC02AC"/>
    <w:rsid w:val="00CD31FE"/>
    <w:rsid w:val="00CD4E23"/>
    <w:rsid w:val="00CE1CE0"/>
    <w:rsid w:val="00CF4B63"/>
    <w:rsid w:val="00D01DB7"/>
    <w:rsid w:val="00D03C48"/>
    <w:rsid w:val="00D133F0"/>
    <w:rsid w:val="00D17813"/>
    <w:rsid w:val="00D22EFE"/>
    <w:rsid w:val="00D26C00"/>
    <w:rsid w:val="00D33030"/>
    <w:rsid w:val="00D33988"/>
    <w:rsid w:val="00D56DB3"/>
    <w:rsid w:val="00D60833"/>
    <w:rsid w:val="00D70DE3"/>
    <w:rsid w:val="00DA2F99"/>
    <w:rsid w:val="00DB28E9"/>
    <w:rsid w:val="00DB5933"/>
    <w:rsid w:val="00DC1FC4"/>
    <w:rsid w:val="00DC371A"/>
    <w:rsid w:val="00DD2FF0"/>
    <w:rsid w:val="00DD526A"/>
    <w:rsid w:val="00DE5792"/>
    <w:rsid w:val="00DF09BE"/>
    <w:rsid w:val="00DF6FF1"/>
    <w:rsid w:val="00DF7F98"/>
    <w:rsid w:val="00E018B5"/>
    <w:rsid w:val="00E03562"/>
    <w:rsid w:val="00E0769E"/>
    <w:rsid w:val="00E3496B"/>
    <w:rsid w:val="00E35DC3"/>
    <w:rsid w:val="00E375F6"/>
    <w:rsid w:val="00E50CCA"/>
    <w:rsid w:val="00E51AC0"/>
    <w:rsid w:val="00E55AEB"/>
    <w:rsid w:val="00E668EA"/>
    <w:rsid w:val="00E7530D"/>
    <w:rsid w:val="00E84E20"/>
    <w:rsid w:val="00E85F23"/>
    <w:rsid w:val="00E90781"/>
    <w:rsid w:val="00E91951"/>
    <w:rsid w:val="00EA18BB"/>
    <w:rsid w:val="00EA4C3B"/>
    <w:rsid w:val="00EB2413"/>
    <w:rsid w:val="00EB44F6"/>
    <w:rsid w:val="00EC2F0F"/>
    <w:rsid w:val="00EC57A4"/>
    <w:rsid w:val="00EF0830"/>
    <w:rsid w:val="00EF0D4A"/>
    <w:rsid w:val="00EF6F58"/>
    <w:rsid w:val="00F02272"/>
    <w:rsid w:val="00F03AE7"/>
    <w:rsid w:val="00F0432F"/>
    <w:rsid w:val="00F0548B"/>
    <w:rsid w:val="00F071B8"/>
    <w:rsid w:val="00F104B5"/>
    <w:rsid w:val="00F21270"/>
    <w:rsid w:val="00F23ABD"/>
    <w:rsid w:val="00F24EC4"/>
    <w:rsid w:val="00F34239"/>
    <w:rsid w:val="00F35860"/>
    <w:rsid w:val="00F37A68"/>
    <w:rsid w:val="00F45E33"/>
    <w:rsid w:val="00F56555"/>
    <w:rsid w:val="00F61A6B"/>
    <w:rsid w:val="00F70BCF"/>
    <w:rsid w:val="00F831E3"/>
    <w:rsid w:val="00F85B79"/>
    <w:rsid w:val="00FA4B8E"/>
    <w:rsid w:val="00FA6BD9"/>
    <w:rsid w:val="00FB4342"/>
    <w:rsid w:val="00FB45F2"/>
    <w:rsid w:val="00FC2E22"/>
    <w:rsid w:val="00FC5CFB"/>
    <w:rsid w:val="00FD0542"/>
    <w:rsid w:val="00FD23BB"/>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1D3C8C"/>
  <w15:docId w15:val="{C7E0FA70-8E91-4B6B-ADD4-3B87BD3C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72E4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72E4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555"/>
    <w:pPr>
      <w:autoSpaceDE w:val="0"/>
      <w:autoSpaceDN w:val="0"/>
      <w:adjustRightInd w:val="0"/>
      <w:spacing w:after="0" w:line="240" w:lineRule="auto"/>
    </w:pPr>
    <w:rPr>
      <w:rFonts w:ascii="Verdana" w:hAnsi="Verdana" w:cs="Verdan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89593189">
      <w:bodyDiv w:val="1"/>
      <w:marLeft w:val="0"/>
      <w:marRight w:val="0"/>
      <w:marTop w:val="0"/>
      <w:marBottom w:val="0"/>
      <w:divBdr>
        <w:top w:val="none" w:sz="0" w:space="0" w:color="auto"/>
        <w:left w:val="none" w:sz="0" w:space="0" w:color="auto"/>
        <w:bottom w:val="none" w:sz="0" w:space="0" w:color="auto"/>
        <w:right w:val="none" w:sz="0" w:space="0" w:color="auto"/>
      </w:divBdr>
    </w:div>
    <w:div w:id="1600678377">
      <w:bodyDiv w:val="1"/>
      <w:marLeft w:val="0"/>
      <w:marRight w:val="0"/>
      <w:marTop w:val="0"/>
      <w:marBottom w:val="0"/>
      <w:divBdr>
        <w:top w:val="none" w:sz="0" w:space="0" w:color="auto"/>
        <w:left w:val="none" w:sz="0" w:space="0" w:color="auto"/>
        <w:bottom w:val="none" w:sz="0" w:space="0" w:color="auto"/>
        <w:right w:val="none" w:sz="0" w:space="0" w:color="auto"/>
      </w:divBdr>
    </w:div>
    <w:div w:id="18443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7135</Words>
  <Characters>39245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2024-02-09T22:49:00Z</dcterms:created>
  <dcterms:modified xsi:type="dcterms:W3CDTF">2024-02-09T22:50:00Z</dcterms:modified>
</cp:coreProperties>
</file>