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0C32ED" w:rsidRPr="009E4D64" w:rsidRDefault="000C32ED"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C67E09" w:rsidP="00C67E09">
            <w:pPr>
              <w:jc w:val="center"/>
              <w:rPr>
                <w:b/>
                <w:color w:val="FFFFFF" w:themeColor="background1"/>
                <w:sz w:val="64"/>
                <w:szCs w:val="64"/>
              </w:rPr>
            </w:pPr>
            <w:r>
              <w:rPr>
                <w:b/>
                <w:color w:val="FFFFFF" w:themeColor="background1"/>
                <w:sz w:val="64"/>
                <w:szCs w:val="64"/>
              </w:rPr>
              <w:t xml:space="preserve">EGIPTO </w:t>
            </w:r>
            <w:r w:rsidR="00177FE9">
              <w:rPr>
                <w:b/>
                <w:color w:val="FFFFFF" w:themeColor="background1"/>
                <w:sz w:val="64"/>
                <w:szCs w:val="64"/>
              </w:rPr>
              <w:t xml:space="preserve">Y TURQUÍA </w:t>
            </w:r>
            <w:r w:rsidR="00ED4653" w:rsidRPr="00FA0550">
              <w:rPr>
                <w:b/>
                <w:color w:val="FFFFFF" w:themeColor="background1"/>
                <w:sz w:val="64"/>
                <w:szCs w:val="64"/>
              </w:rPr>
              <w:t>A SU ALCANCE</w:t>
            </w:r>
          </w:p>
        </w:tc>
      </w:tr>
    </w:tbl>
    <w:p w:rsidR="00ED4653" w:rsidRDefault="00ED4653" w:rsidP="00ED4653">
      <w:pPr>
        <w:pStyle w:val="dias"/>
      </w:pPr>
    </w:p>
    <w:p w:rsidR="00ED4653" w:rsidRPr="00FA0550" w:rsidRDefault="00081ECE"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163759">
        <w:rPr>
          <w:color w:val="1F3864"/>
          <w:sz w:val="48"/>
          <w:szCs w:val="48"/>
        </w:rPr>
        <w:t>11.140</w:t>
      </w:r>
      <w:r w:rsidR="00E050B1">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Precio por persona en acomodación 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C92395">
        <w:rPr>
          <w:color w:val="1F3864"/>
          <w:sz w:val="40"/>
          <w:szCs w:val="40"/>
        </w:rPr>
        <w:t xml:space="preserve">Visa de Egipto – </w:t>
      </w:r>
      <w:r w:rsidRPr="00FA0550">
        <w:rPr>
          <w:color w:val="1F3864"/>
          <w:sz w:val="40"/>
          <w:szCs w:val="40"/>
        </w:rPr>
        <w:t xml:space="preserve">alojamiento – </w:t>
      </w:r>
      <w:r w:rsidR="00C92395">
        <w:rPr>
          <w:color w:val="1F3864"/>
          <w:sz w:val="40"/>
          <w:szCs w:val="40"/>
        </w:rPr>
        <w:t>crucero por El Nilo –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C92395">
        <w:rPr>
          <w:color w:val="1F3864"/>
          <w:sz w:val="40"/>
          <w:szCs w:val="40"/>
        </w:rPr>
        <w:t>6</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44779" w:rsidRPr="00A44779">
        <w:rPr>
          <w:caps w:val="0"/>
          <w:color w:val="1F3864"/>
          <w:sz w:val="40"/>
          <w:szCs w:val="40"/>
        </w:rPr>
        <w:t xml:space="preserve">El Cairo, </w:t>
      </w:r>
      <w:r w:rsidR="00A44779">
        <w:rPr>
          <w:caps w:val="0"/>
          <w:color w:val="1F3864"/>
          <w:sz w:val="40"/>
          <w:szCs w:val="40"/>
        </w:rPr>
        <w:t xml:space="preserve">Aswan, Kom Ombo, Edfu, </w:t>
      </w:r>
      <w:r w:rsidR="00A44779" w:rsidRPr="00A44779">
        <w:rPr>
          <w:caps w:val="0"/>
          <w:color w:val="1F3864"/>
          <w:sz w:val="40"/>
          <w:szCs w:val="40"/>
        </w:rPr>
        <w:t>Luxor, Estambul</w:t>
      </w:r>
      <w:r w:rsidR="00AF6912" w:rsidRPr="00ED4653">
        <w:rPr>
          <w:caps w:val="0"/>
          <w:color w:val="1F3864"/>
          <w:sz w:val="40"/>
          <w:szCs w:val="40"/>
        </w:rPr>
        <w:t>, Ankara, Capadocia, Pamukkale, Kusadasi, Éfeso, Bursa</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956246" w:rsidRPr="00FA0550" w:rsidRDefault="00956246" w:rsidP="00ED4653">
      <w:pPr>
        <w:pStyle w:val="itinerario"/>
        <w:ind w:left="2832"/>
        <w:jc w:val="left"/>
        <w:rPr>
          <w:b/>
          <w:color w:val="1F3864"/>
          <w:sz w:val="28"/>
          <w:szCs w:val="28"/>
        </w:rPr>
      </w:pPr>
      <w:r>
        <w:rPr>
          <w:b/>
          <w:color w:val="1F3864"/>
          <w:sz w:val="28"/>
          <w:szCs w:val="28"/>
        </w:rPr>
        <w:t>Octubre 9</w:t>
      </w:r>
      <w:r>
        <w:rPr>
          <w:b/>
          <w:color w:val="1F3864"/>
          <w:sz w:val="28"/>
          <w:szCs w:val="28"/>
        </w:rPr>
        <w:tab/>
      </w:r>
      <w:r>
        <w:rPr>
          <w:b/>
          <w:color w:val="1F3864"/>
          <w:sz w:val="28"/>
          <w:szCs w:val="28"/>
        </w:rPr>
        <w:tab/>
      </w:r>
      <w:r>
        <w:rPr>
          <w:b/>
          <w:color w:val="1F3864"/>
          <w:sz w:val="28"/>
          <w:szCs w:val="28"/>
        </w:rPr>
        <w:tab/>
        <w:t>octubre 24</w:t>
      </w:r>
    </w:p>
    <w:p w:rsidR="003B6ED2" w:rsidRDefault="003B6ED2" w:rsidP="00707767">
      <w:pPr>
        <w:pStyle w:val="dias"/>
        <w:rPr>
          <w:color w:val="1F3864"/>
          <w:sz w:val="28"/>
          <w:szCs w:val="28"/>
        </w:rPr>
      </w:pPr>
    </w:p>
    <w:p w:rsidR="00163759" w:rsidRDefault="00163759" w:rsidP="00707767">
      <w:pPr>
        <w:pStyle w:val="dias"/>
        <w:rPr>
          <w:color w:val="1F3864"/>
          <w:sz w:val="28"/>
          <w:szCs w:val="28"/>
        </w:rPr>
      </w:pPr>
    </w:p>
    <w:p w:rsidR="00163759" w:rsidRDefault="00163759"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t>INCLUYE</w:t>
      </w:r>
    </w:p>
    <w:p w:rsidR="00F52275" w:rsidRPr="005F173A" w:rsidRDefault="00D76030" w:rsidP="00D45F12">
      <w:pPr>
        <w:pStyle w:val="vinetas"/>
        <w:jc w:val="both"/>
      </w:pPr>
      <w:r w:rsidRPr="005F173A">
        <w:t>Tiquete a</w:t>
      </w:r>
      <w:r w:rsidR="002F77FC" w:rsidRPr="005F173A">
        <w:t xml:space="preserve">éreo en la ruta </w:t>
      </w:r>
      <w:r w:rsidR="001E4A5C" w:rsidRPr="005F173A">
        <w:t xml:space="preserve">Bogotá </w:t>
      </w:r>
      <w:r w:rsidR="002F219E" w:rsidRPr="005F173A">
        <w:t>–</w:t>
      </w:r>
      <w:r w:rsidR="009B0FDC" w:rsidRPr="005F173A">
        <w:t xml:space="preserve"> Estambul</w:t>
      </w:r>
      <w:r w:rsidR="00D45F12">
        <w:t>*</w:t>
      </w:r>
      <w:r w:rsidR="002F219E" w:rsidRPr="005F173A">
        <w:t xml:space="preserve"> –</w:t>
      </w:r>
      <w:r w:rsidR="00D45F12">
        <w:t xml:space="preserve"> </w:t>
      </w:r>
      <w:r w:rsidR="00956246" w:rsidRPr="005F173A">
        <w:t>El Cairo // Hurghada</w:t>
      </w:r>
      <w:r w:rsidR="00B8176A" w:rsidRPr="005F173A">
        <w:t xml:space="preserve"> – Estambul</w:t>
      </w:r>
      <w:r w:rsidR="00956246" w:rsidRPr="005F173A">
        <w:t xml:space="preserve"> </w:t>
      </w:r>
      <w:r w:rsidR="00B8176A" w:rsidRPr="005F173A">
        <w:t xml:space="preserve">– </w:t>
      </w:r>
      <w:r w:rsidR="00572349" w:rsidRPr="005F173A">
        <w:t>Bogotá</w:t>
      </w:r>
      <w:r w:rsidR="002F219E" w:rsidRPr="005F173A">
        <w:t xml:space="preserve">, </w:t>
      </w:r>
      <w:r w:rsidR="00572349" w:rsidRPr="005F173A">
        <w:t xml:space="preserve">vía </w:t>
      </w:r>
      <w:r w:rsidR="000C1B4E" w:rsidRPr="005F173A">
        <w:t>Turkish Airlines</w:t>
      </w:r>
      <w:r w:rsidR="0095547C" w:rsidRPr="005F173A">
        <w:t>.</w:t>
      </w:r>
    </w:p>
    <w:p w:rsidR="00E52D16" w:rsidRPr="005F173A" w:rsidRDefault="00E52D16" w:rsidP="00D45F12">
      <w:pPr>
        <w:pStyle w:val="vinetas"/>
        <w:jc w:val="both"/>
      </w:pPr>
      <w:r w:rsidRPr="005F173A">
        <w:t>Tiquete aéreo El Cairo – Aswan.</w:t>
      </w:r>
    </w:p>
    <w:p w:rsidR="004517D0" w:rsidRPr="005F173A" w:rsidRDefault="004517D0" w:rsidP="00D45F12">
      <w:pPr>
        <w:pStyle w:val="vinetas"/>
        <w:jc w:val="both"/>
      </w:pPr>
      <w:r w:rsidRPr="005F173A">
        <w:t>Impuestos del tiquete aéreo</w:t>
      </w:r>
      <w:r w:rsidR="008C55AD" w:rsidRPr="005F173A">
        <w:t>.</w:t>
      </w:r>
    </w:p>
    <w:p w:rsidR="00D45F12" w:rsidRPr="00D45F12" w:rsidRDefault="00D45F12" w:rsidP="00D45F12">
      <w:pPr>
        <w:pStyle w:val="vinetas"/>
        <w:jc w:val="both"/>
        <w:rPr>
          <w:b/>
          <w:color w:val="1F3864"/>
        </w:rPr>
      </w:pPr>
      <w:r w:rsidRPr="00D45F12">
        <w:rPr>
          <w:b/>
          <w:color w:val="1F3864"/>
        </w:rPr>
        <w:t>Servicios en Egipto:</w:t>
      </w:r>
    </w:p>
    <w:p w:rsidR="00D45F12" w:rsidRDefault="00D45F12" w:rsidP="00D45F12">
      <w:pPr>
        <w:pStyle w:val="vinetas"/>
        <w:jc w:val="both"/>
      </w:pPr>
      <w:r>
        <w:t>Visa de Egipto.</w:t>
      </w:r>
    </w:p>
    <w:p w:rsidR="00AD53BD" w:rsidRPr="005F173A" w:rsidRDefault="001F6502" w:rsidP="00D45F12">
      <w:pPr>
        <w:pStyle w:val="vinetas"/>
        <w:jc w:val="both"/>
      </w:pPr>
      <w:r w:rsidRPr="005F173A">
        <w:t>Traslado</w:t>
      </w:r>
      <w:r w:rsidR="00B8176A" w:rsidRPr="005F173A">
        <w:t>s</w:t>
      </w:r>
      <w:r w:rsidRPr="005F173A">
        <w:t xml:space="preserve"> a</w:t>
      </w:r>
      <w:r w:rsidR="00F52275" w:rsidRPr="005F173A">
        <w:t xml:space="preserve">eropuerto </w:t>
      </w:r>
      <w:r w:rsidR="002F219E" w:rsidRPr="005F173A">
        <w:t>–</w:t>
      </w:r>
      <w:r w:rsidR="00EA0609" w:rsidRPr="005F173A">
        <w:t xml:space="preserve"> </w:t>
      </w:r>
      <w:r w:rsidR="00F52275" w:rsidRPr="005F173A">
        <w:t>hotel</w:t>
      </w:r>
      <w:r w:rsidR="00B8176A" w:rsidRPr="005F173A">
        <w:t xml:space="preserve"> – aeropuerto</w:t>
      </w:r>
      <w:r w:rsidR="0095547C" w:rsidRPr="005F173A">
        <w:t>.</w:t>
      </w:r>
    </w:p>
    <w:p w:rsidR="00956246" w:rsidRPr="005F173A" w:rsidRDefault="00956246" w:rsidP="00D45F12">
      <w:pPr>
        <w:pStyle w:val="vinetas"/>
        <w:jc w:val="both"/>
      </w:pPr>
      <w:r w:rsidRPr="005F173A">
        <w:t xml:space="preserve">Transporte terrestre como lo indica el itinerario: Luxor – Hurghada. </w:t>
      </w:r>
    </w:p>
    <w:p w:rsidR="00956246" w:rsidRPr="00D45F12" w:rsidRDefault="00956246" w:rsidP="00D45F12">
      <w:pPr>
        <w:pStyle w:val="vinetas"/>
        <w:jc w:val="both"/>
      </w:pPr>
      <w:r w:rsidRPr="00D45F12">
        <w:t>2 noches de alojamiento en El Cairo.</w:t>
      </w:r>
    </w:p>
    <w:p w:rsidR="00956246" w:rsidRPr="00D45F12" w:rsidRDefault="00956246" w:rsidP="00D45F12">
      <w:pPr>
        <w:pStyle w:val="vinetas"/>
        <w:ind w:left="720" w:hanging="360"/>
        <w:jc w:val="both"/>
      </w:pPr>
      <w:r w:rsidRPr="00D45F12">
        <w:t>3 noches de crucero por El Nilo.</w:t>
      </w:r>
    </w:p>
    <w:p w:rsidR="00B8176A" w:rsidRPr="005F173A" w:rsidRDefault="00B8176A" w:rsidP="00D45F12">
      <w:pPr>
        <w:pStyle w:val="vinetas"/>
        <w:jc w:val="both"/>
      </w:pPr>
      <w:r w:rsidRPr="005F173A">
        <w:t>Desayuno diario</w:t>
      </w:r>
      <w:r w:rsidR="00D45F12">
        <w:t xml:space="preserve"> en El Cairo</w:t>
      </w:r>
      <w:r w:rsidRPr="005F173A">
        <w:t>.</w:t>
      </w:r>
    </w:p>
    <w:p w:rsidR="00E52D16" w:rsidRPr="005F173A" w:rsidRDefault="00E52D16" w:rsidP="00D45F12">
      <w:pPr>
        <w:pStyle w:val="vinetas"/>
        <w:jc w:val="both"/>
      </w:pPr>
      <w:r w:rsidRPr="005F173A">
        <w:t>Pensión completa a bordo del crucero por El Nilo (sin bebidas).</w:t>
      </w:r>
    </w:p>
    <w:p w:rsidR="00E52D16" w:rsidRPr="005F173A" w:rsidRDefault="00E52D16" w:rsidP="00D45F12">
      <w:pPr>
        <w:pStyle w:val="vinetas"/>
        <w:jc w:val="both"/>
      </w:pPr>
      <w:r w:rsidRPr="005F173A">
        <w:t xml:space="preserve">Visita a las Pirámides de Giza, la Esfinge y el </w:t>
      </w:r>
      <w:r w:rsidR="00C2778E" w:rsidRPr="005F173A">
        <w:t>Museo Egipcio.</w:t>
      </w:r>
    </w:p>
    <w:p w:rsidR="00E52D16" w:rsidRPr="005F173A" w:rsidRDefault="00E52D16" w:rsidP="00D45F12">
      <w:pPr>
        <w:pStyle w:val="vinetas"/>
        <w:jc w:val="both"/>
      </w:pPr>
      <w:r w:rsidRPr="005F173A">
        <w:t xml:space="preserve">Visitas del crucero Incluidas: </w:t>
      </w:r>
    </w:p>
    <w:p w:rsidR="00253563" w:rsidRPr="005F173A" w:rsidRDefault="00253563" w:rsidP="00AD2D78">
      <w:pPr>
        <w:pStyle w:val="vinetas"/>
        <w:numPr>
          <w:ilvl w:val="0"/>
          <w:numId w:val="0"/>
        </w:numPr>
        <w:ind w:left="714"/>
        <w:jc w:val="both"/>
      </w:pPr>
      <w:r w:rsidRPr="005F173A">
        <w:t>Visita a la Alta Presa de Aswan y el Templo de Philae.</w:t>
      </w:r>
    </w:p>
    <w:p w:rsidR="00253563" w:rsidRPr="005F173A" w:rsidRDefault="00253563" w:rsidP="00AD2D78">
      <w:pPr>
        <w:pStyle w:val="vinetas"/>
        <w:numPr>
          <w:ilvl w:val="0"/>
          <w:numId w:val="0"/>
        </w:numPr>
        <w:ind w:left="714"/>
        <w:jc w:val="both"/>
      </w:pPr>
      <w:r w:rsidRPr="005F173A">
        <w:t>Visita al Templo de los Dioses Sobek y Haroeris en Kom Ombo.</w:t>
      </w:r>
    </w:p>
    <w:p w:rsidR="00253563" w:rsidRPr="005F173A" w:rsidRDefault="00253563" w:rsidP="00AD2D78">
      <w:pPr>
        <w:pStyle w:val="vinetas"/>
        <w:numPr>
          <w:ilvl w:val="0"/>
          <w:numId w:val="0"/>
        </w:numPr>
        <w:ind w:left="714"/>
        <w:jc w:val="both"/>
      </w:pPr>
      <w:r w:rsidRPr="005F173A">
        <w:t>Visita al templo del Dios Horus en Edfu.</w:t>
      </w:r>
    </w:p>
    <w:p w:rsidR="00E52D16" w:rsidRPr="005F173A" w:rsidRDefault="00E52D16" w:rsidP="00AD2D78">
      <w:pPr>
        <w:pStyle w:val="vinetas"/>
        <w:numPr>
          <w:ilvl w:val="0"/>
          <w:numId w:val="0"/>
        </w:numPr>
        <w:ind w:left="714"/>
        <w:jc w:val="both"/>
      </w:pPr>
      <w:r w:rsidRPr="005F173A">
        <w:t>Visita a los templos de Luxor y Karnak.</w:t>
      </w:r>
    </w:p>
    <w:p w:rsidR="00E52D16" w:rsidRPr="005F173A" w:rsidRDefault="00E52D16" w:rsidP="00AD2D78">
      <w:pPr>
        <w:pStyle w:val="vinetas"/>
        <w:numPr>
          <w:ilvl w:val="0"/>
          <w:numId w:val="0"/>
        </w:numPr>
        <w:ind w:left="714"/>
        <w:jc w:val="both"/>
      </w:pPr>
      <w:r w:rsidRPr="005F173A">
        <w:t>Visita a la Necrópolis de Tebas: Valle de los Reyes, templo de la Reina Hatshepsut y los colosos de Memnon.</w:t>
      </w:r>
    </w:p>
    <w:p w:rsidR="00E52D16" w:rsidRDefault="00253563" w:rsidP="00D45F12">
      <w:pPr>
        <w:pStyle w:val="vinetas"/>
        <w:jc w:val="both"/>
      </w:pPr>
      <w:r w:rsidRPr="005F173A">
        <w:t>Visita panorámica de la ciudad de Hurghada.</w:t>
      </w:r>
    </w:p>
    <w:p w:rsidR="00D45F12" w:rsidRPr="00D45F12" w:rsidRDefault="00D45F12" w:rsidP="00D45F12">
      <w:pPr>
        <w:pStyle w:val="vinetas"/>
        <w:jc w:val="both"/>
        <w:rPr>
          <w:b/>
          <w:color w:val="1F3864"/>
        </w:rPr>
      </w:pPr>
      <w:r w:rsidRPr="00D45F12">
        <w:rPr>
          <w:b/>
          <w:color w:val="1F3864"/>
        </w:rPr>
        <w:t>Servicios en Turquía:</w:t>
      </w:r>
    </w:p>
    <w:p w:rsidR="00D45F12" w:rsidRPr="00D45F12" w:rsidRDefault="00D45F12" w:rsidP="00D45F12">
      <w:pPr>
        <w:pStyle w:val="vinetas"/>
        <w:jc w:val="both"/>
      </w:pPr>
      <w:r w:rsidRPr="00D45F12">
        <w:t>Traslados aeropuerto – hotel – aeropuerto.</w:t>
      </w:r>
    </w:p>
    <w:p w:rsidR="00D45F12" w:rsidRPr="00D45F12" w:rsidRDefault="00D45F12" w:rsidP="00D45F12">
      <w:pPr>
        <w:pStyle w:val="vinetas"/>
        <w:jc w:val="both"/>
      </w:pPr>
      <w:r w:rsidRPr="00D45F12">
        <w:t>Transporte terrestre como lo indica el itinerario: Estambul – Ankara – Capadocia – Konya – Pamukkale – Kusadasi – Éfeso – Bursa – Estambul.</w:t>
      </w:r>
    </w:p>
    <w:p w:rsidR="00D45F12" w:rsidRPr="00D45F12" w:rsidRDefault="00D45F12" w:rsidP="00D45F12">
      <w:pPr>
        <w:pStyle w:val="vinetas"/>
        <w:ind w:left="720" w:hanging="360"/>
        <w:jc w:val="both"/>
      </w:pPr>
      <w:r w:rsidRPr="00D45F12">
        <w:t>Early check in garantizado a la llegada a Estambul.</w:t>
      </w:r>
    </w:p>
    <w:p w:rsidR="00D45F12" w:rsidRPr="00D45F12" w:rsidRDefault="00D45F12" w:rsidP="00D45F12">
      <w:pPr>
        <w:pStyle w:val="vinetas"/>
        <w:ind w:left="720" w:hanging="360"/>
        <w:jc w:val="both"/>
      </w:pPr>
      <w:r w:rsidRPr="00D45F12">
        <w:t>3 noches de alojamiento en Estambul.</w:t>
      </w:r>
    </w:p>
    <w:p w:rsidR="00D45F12" w:rsidRPr="005F173A" w:rsidRDefault="00D45F12" w:rsidP="00D45F12">
      <w:pPr>
        <w:pStyle w:val="vinetas"/>
        <w:jc w:val="both"/>
      </w:pPr>
      <w:r w:rsidRPr="005F173A">
        <w:t>2 noches de alojamiento en Capadocia.</w:t>
      </w:r>
    </w:p>
    <w:p w:rsidR="00D45F12" w:rsidRPr="005F173A" w:rsidRDefault="00D45F12" w:rsidP="00D45F12">
      <w:pPr>
        <w:pStyle w:val="vinetas"/>
        <w:jc w:val="both"/>
      </w:pPr>
      <w:r w:rsidRPr="005F173A">
        <w:t>1 noche de alojamiento en Pamukkale.</w:t>
      </w:r>
    </w:p>
    <w:p w:rsidR="00D45F12" w:rsidRPr="005F173A" w:rsidRDefault="00D45F12" w:rsidP="00D45F12">
      <w:pPr>
        <w:pStyle w:val="vinetas"/>
        <w:jc w:val="both"/>
      </w:pPr>
      <w:r w:rsidRPr="005F173A">
        <w:t>2 noches de alojamiento en Kusadasi o Izmir.</w:t>
      </w:r>
    </w:p>
    <w:p w:rsidR="00D45F12" w:rsidRPr="005F173A" w:rsidRDefault="00D45F12" w:rsidP="00D45F12">
      <w:pPr>
        <w:pStyle w:val="vinetas"/>
        <w:jc w:val="both"/>
      </w:pPr>
      <w:r w:rsidRPr="005F173A">
        <w:t>Desayuno diario.</w:t>
      </w:r>
    </w:p>
    <w:p w:rsidR="00D45F12" w:rsidRPr="005F173A" w:rsidRDefault="00D45F12" w:rsidP="00D45F12">
      <w:pPr>
        <w:pStyle w:val="vinetas"/>
        <w:jc w:val="both"/>
      </w:pPr>
      <w:r w:rsidRPr="005F173A">
        <w:t>6 almuerzos en Turquía. No incluye bebidas.</w:t>
      </w:r>
    </w:p>
    <w:p w:rsidR="00D45F12" w:rsidRPr="005F173A" w:rsidRDefault="00D45F12" w:rsidP="00D45F12">
      <w:pPr>
        <w:pStyle w:val="vinetas"/>
        <w:jc w:val="both"/>
      </w:pPr>
      <w:r w:rsidRPr="005F173A">
        <w:t>5 cenas en Turquía. No incluye bebidas.</w:t>
      </w:r>
    </w:p>
    <w:p w:rsidR="00B6720E" w:rsidRPr="005F173A" w:rsidRDefault="00B6720E" w:rsidP="00D45F12">
      <w:pPr>
        <w:pStyle w:val="vinetas"/>
        <w:jc w:val="both"/>
      </w:pPr>
      <w:r w:rsidRPr="005F173A">
        <w:t>Visitas y excursiones con guía en español.</w:t>
      </w:r>
    </w:p>
    <w:p w:rsidR="005F173A" w:rsidRPr="005F173A" w:rsidRDefault="005F173A" w:rsidP="00D45F12">
      <w:pPr>
        <w:pStyle w:val="vinetas"/>
        <w:jc w:val="both"/>
      </w:pPr>
      <w:r w:rsidRPr="005F173A">
        <w:t>Visita panorámica de la ciudad antigua de Estambul y el Cuerno de Oro.</w:t>
      </w:r>
    </w:p>
    <w:p w:rsidR="005F173A" w:rsidRPr="005F173A" w:rsidRDefault="005F173A" w:rsidP="00D45F12">
      <w:pPr>
        <w:pStyle w:val="vinetas"/>
        <w:jc w:val="both"/>
      </w:pPr>
      <w:r w:rsidRPr="005F173A">
        <w:t>Paseo por el Bósforo</w:t>
      </w:r>
      <w:r w:rsidR="00D45F12">
        <w:t xml:space="preserve"> y v</w:t>
      </w:r>
      <w:r w:rsidRPr="005F173A">
        <w:t>isita al Bazar de las especias.</w:t>
      </w:r>
    </w:p>
    <w:p w:rsidR="00B6720E" w:rsidRPr="005F173A" w:rsidRDefault="00B6720E" w:rsidP="00D45F12">
      <w:pPr>
        <w:pStyle w:val="vinetas"/>
        <w:jc w:val="both"/>
      </w:pPr>
      <w:r w:rsidRPr="005F173A">
        <w:t>Visita del Mausoleo de Ataturk en Ankara.</w:t>
      </w:r>
    </w:p>
    <w:p w:rsidR="00B6720E" w:rsidRPr="005F173A" w:rsidRDefault="00B6720E" w:rsidP="00D45F12">
      <w:pPr>
        <w:pStyle w:val="vinetas"/>
        <w:jc w:val="both"/>
      </w:pPr>
      <w:r w:rsidRPr="005F173A">
        <w:t xml:space="preserve">Visita de la Capadocia (valle de Göreme, fortaleza de Uçhisar y los valles de Avcilar y </w:t>
      </w:r>
      <w:r w:rsidR="0061767F" w:rsidRPr="005F173A">
        <w:t>Çavuşin</w:t>
      </w:r>
      <w:r w:rsidRPr="005F173A">
        <w:t>).</w:t>
      </w:r>
    </w:p>
    <w:p w:rsidR="00B6720E" w:rsidRPr="005F173A" w:rsidRDefault="00B6720E" w:rsidP="00D45F12">
      <w:pPr>
        <w:pStyle w:val="vinetas"/>
        <w:jc w:val="both"/>
      </w:pPr>
      <w:r w:rsidRPr="005F173A">
        <w:t xml:space="preserve">En la ruta de Capadocia a Pamukkale, visita en ruta de un antiguo caravanserai Selyúcida “Sultanhani”. </w:t>
      </w:r>
    </w:p>
    <w:p w:rsidR="00B6720E" w:rsidRPr="005F173A" w:rsidRDefault="00B6720E" w:rsidP="00D45F12">
      <w:pPr>
        <w:pStyle w:val="vinetas"/>
        <w:jc w:val="both"/>
      </w:pPr>
      <w:r w:rsidRPr="005F173A">
        <w:t>Visita de Hierápolis en Pamukkale.</w:t>
      </w:r>
    </w:p>
    <w:p w:rsidR="00B6720E" w:rsidRPr="005F173A" w:rsidRDefault="00B6720E" w:rsidP="00D45F12">
      <w:pPr>
        <w:pStyle w:val="vinetas"/>
        <w:jc w:val="both"/>
      </w:pPr>
      <w:r w:rsidRPr="005F173A">
        <w:t>Visita de las ruinas de Éfeso y la casa de la Virgen María.</w:t>
      </w:r>
    </w:p>
    <w:p w:rsidR="00B6720E" w:rsidRDefault="00B6720E" w:rsidP="00D45F12">
      <w:pPr>
        <w:pStyle w:val="vinetas"/>
        <w:jc w:val="both"/>
      </w:pPr>
      <w:r>
        <w:t>Visita de la Mezquita Verde, Mausoleo Verde y el Bazar de Seda en Bursa.</w:t>
      </w:r>
    </w:p>
    <w:p w:rsidR="00A37D47" w:rsidRPr="00A37D47" w:rsidRDefault="00A37D47" w:rsidP="00D45F12">
      <w:pPr>
        <w:pStyle w:val="vinetas"/>
        <w:jc w:val="both"/>
      </w:pPr>
      <w:r w:rsidRPr="00A37D47">
        <w:t>Tarjeta de asistencia médica con beneficio de cancelación y seguro Covid 19, hasta 74 años. Debe ser expedida 25 días antes de iniciar el viaje. Condiciones y beneficios de la tarjeta favor consultarlas.</w:t>
      </w:r>
    </w:p>
    <w:p w:rsidR="000C1B4E" w:rsidRPr="00477DDA" w:rsidRDefault="000C1B4E" w:rsidP="00477DDA">
      <w:pPr>
        <w:pStyle w:val="vinetas"/>
        <w:jc w:val="both"/>
      </w:pPr>
      <w:r w:rsidRPr="00477DDA">
        <w:t>Impuestos hoteleros</w:t>
      </w:r>
      <w:r w:rsidR="002E16EB" w:rsidRPr="00477DDA">
        <w:t>.</w:t>
      </w: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Pr>
          <w:color w:val="1F3864"/>
          <w:sz w:val="28"/>
          <w:szCs w:val="28"/>
        </w:rPr>
        <w:t>DOMINGO</w:t>
      </w:r>
      <w:r w:rsidRPr="00213559">
        <w:rPr>
          <w:color w:val="1F3864"/>
          <w:sz w:val="28"/>
          <w:szCs w:val="28"/>
        </w:rPr>
        <w:tab/>
      </w:r>
      <w:r>
        <w:rPr>
          <w:color w:val="1F3864"/>
          <w:sz w:val="28"/>
          <w:szCs w:val="28"/>
        </w:rPr>
        <w:tab/>
      </w:r>
      <w:r w:rsidRPr="00213559">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A44779" w:rsidRPr="00213559" w:rsidRDefault="00A44779" w:rsidP="00A44779">
      <w:pPr>
        <w:pStyle w:val="dias"/>
        <w:rPr>
          <w:color w:val="1F3864"/>
          <w:sz w:val="28"/>
          <w:szCs w:val="28"/>
        </w:rPr>
      </w:pPr>
      <w:r w:rsidRPr="00213559">
        <w:rPr>
          <w:color w:val="1F3864"/>
          <w:sz w:val="28"/>
          <w:szCs w:val="28"/>
        </w:rPr>
        <w:t xml:space="preserve">DÍA 2 </w:t>
      </w:r>
      <w:r w:rsidRPr="00213559">
        <w:rPr>
          <w:color w:val="1F3864"/>
          <w:sz w:val="28"/>
          <w:szCs w:val="28"/>
        </w:rPr>
        <w:tab/>
      </w:r>
      <w:r w:rsidRPr="00213559">
        <w:rPr>
          <w:color w:val="1F3864"/>
          <w:sz w:val="28"/>
          <w:szCs w:val="28"/>
        </w:rPr>
        <w:tab/>
      </w:r>
      <w:r>
        <w:rPr>
          <w:color w:val="1F3864"/>
          <w:sz w:val="28"/>
          <w:szCs w:val="28"/>
        </w:rPr>
        <w:t>lunes</w:t>
      </w:r>
      <w:r>
        <w:rPr>
          <w:color w:val="1F3864"/>
          <w:sz w:val="28"/>
          <w:szCs w:val="28"/>
        </w:rPr>
        <w:tab/>
      </w:r>
      <w:r>
        <w:rPr>
          <w:color w:val="1F3864"/>
          <w:sz w:val="28"/>
          <w:szCs w:val="28"/>
        </w:rPr>
        <w:tab/>
      </w:r>
      <w:r w:rsidRPr="00213559">
        <w:rPr>
          <w:caps w:val="0"/>
          <w:color w:val="1F3864"/>
          <w:sz w:val="28"/>
          <w:szCs w:val="28"/>
        </w:rPr>
        <w:t xml:space="preserve">ESTAMBUL – </w:t>
      </w:r>
      <w:r w:rsidRPr="007267A6">
        <w:rPr>
          <w:caps w:val="0"/>
          <w:color w:val="1F3864"/>
          <w:sz w:val="28"/>
          <w:szCs w:val="28"/>
        </w:rPr>
        <w:t>EL CAIRO (VUELO INCLUIDO)</w:t>
      </w:r>
    </w:p>
    <w:p w:rsidR="00A44779" w:rsidRDefault="00A44779" w:rsidP="00A44779">
      <w:pPr>
        <w:pStyle w:val="itinerario"/>
      </w:pPr>
      <w:r w:rsidRPr="00B80EF0">
        <w:t xml:space="preserve">Llegada a Estambul a las </w:t>
      </w:r>
      <w:r>
        <w:t>16:50 horas</w:t>
      </w:r>
      <w:r w:rsidRPr="00B80EF0">
        <w:t xml:space="preserve">.  A las </w:t>
      </w:r>
      <w:r>
        <w:t>18:30</w:t>
      </w:r>
      <w:r w:rsidRPr="00B80EF0">
        <w:t xml:space="preserve"> horas, salida en el vuelo TURKISH con destino </w:t>
      </w:r>
      <w:r>
        <w:t>El Cairo. A la llegada, recibimiento en el aeropuerto y traslado al hotel. Alojamiento.</w:t>
      </w:r>
    </w:p>
    <w:p w:rsidR="00A44779" w:rsidRPr="00213559" w:rsidRDefault="00A44779" w:rsidP="00A44779">
      <w:pPr>
        <w:pStyle w:val="dias"/>
        <w:rPr>
          <w:color w:val="1F3864"/>
          <w:sz w:val="28"/>
          <w:szCs w:val="28"/>
        </w:rPr>
      </w:pPr>
      <w:r w:rsidRPr="00213559">
        <w:rPr>
          <w:color w:val="1F3864"/>
          <w:sz w:val="28"/>
          <w:szCs w:val="28"/>
        </w:rPr>
        <w:t>DÍA 3</w:t>
      </w:r>
      <w:r w:rsidRPr="00213559">
        <w:rPr>
          <w:color w:val="1F3864"/>
          <w:sz w:val="28"/>
          <w:szCs w:val="28"/>
        </w:rPr>
        <w:tab/>
      </w:r>
      <w:r w:rsidRPr="00213559">
        <w:rPr>
          <w:color w:val="1F3864"/>
          <w:sz w:val="28"/>
          <w:szCs w:val="28"/>
        </w:rPr>
        <w:tab/>
      </w:r>
      <w:r>
        <w:rPr>
          <w:color w:val="1F3864"/>
          <w:sz w:val="28"/>
          <w:szCs w:val="28"/>
        </w:rPr>
        <w:t>martes</w:t>
      </w:r>
      <w:r>
        <w:rPr>
          <w:color w:val="1F3864"/>
          <w:sz w:val="28"/>
          <w:szCs w:val="28"/>
        </w:rPr>
        <w:tab/>
      </w:r>
      <w:r>
        <w:rPr>
          <w:color w:val="1F3864"/>
          <w:sz w:val="28"/>
          <w:szCs w:val="28"/>
        </w:rPr>
        <w:tab/>
      </w:r>
      <w:r w:rsidRPr="00213559">
        <w:rPr>
          <w:color w:val="1F3864"/>
          <w:sz w:val="28"/>
          <w:szCs w:val="28"/>
        </w:rPr>
        <w:t>EL CAIRO</w:t>
      </w:r>
    </w:p>
    <w:p w:rsidR="00A44779" w:rsidRDefault="00A44779" w:rsidP="00A44779">
      <w:pPr>
        <w:pStyle w:val="itinerario"/>
      </w:pPr>
      <w:r>
        <w:t xml:space="preserve">Desayuno en el hotel. Por la mañana visita a las tres Pirámides de Giza: sólo a 20 kilómetros de El Cairo, se encuentra emplazada la gran necrópolis de Giza, uno de los lugares que, sin duda, hay qué ver en Egipto. Allí se encuentran las tres pirámides, Keops, Kefrén, Micerino y la Esfinge. </w:t>
      </w:r>
      <w:r w:rsidR="00C2778E">
        <w:t xml:space="preserve">Visita al Museo Egipcio. </w:t>
      </w:r>
      <w:r>
        <w:t>Regreso al hotel. Alojamiento.</w:t>
      </w:r>
    </w:p>
    <w:p w:rsidR="00A44779" w:rsidRPr="00CC290E" w:rsidRDefault="00A44779" w:rsidP="00A44779">
      <w:pPr>
        <w:pStyle w:val="dias"/>
        <w:rPr>
          <w:color w:val="1F3864"/>
          <w:sz w:val="28"/>
          <w:szCs w:val="28"/>
        </w:rPr>
      </w:pPr>
      <w:r w:rsidRPr="00CC290E">
        <w:rPr>
          <w:color w:val="1F3864"/>
          <w:sz w:val="28"/>
          <w:szCs w:val="28"/>
        </w:rPr>
        <w:t>DÍA 4</w:t>
      </w:r>
      <w:r w:rsidRPr="00CC290E">
        <w:rPr>
          <w:color w:val="1F3864"/>
          <w:sz w:val="28"/>
          <w:szCs w:val="28"/>
        </w:rPr>
        <w:tab/>
      </w:r>
      <w:r w:rsidRPr="00CC290E">
        <w:rPr>
          <w:color w:val="1F3864"/>
          <w:sz w:val="28"/>
          <w:szCs w:val="28"/>
        </w:rPr>
        <w:tab/>
      </w:r>
      <w:r>
        <w:rPr>
          <w:color w:val="1F3864"/>
          <w:sz w:val="28"/>
          <w:szCs w:val="28"/>
        </w:rPr>
        <w:t>MIÉRCOLES</w:t>
      </w:r>
      <w:r>
        <w:rPr>
          <w:color w:val="1F3864"/>
          <w:sz w:val="28"/>
          <w:szCs w:val="28"/>
        </w:rPr>
        <w:tab/>
      </w:r>
      <w:r>
        <w:rPr>
          <w:color w:val="1F3864"/>
          <w:sz w:val="28"/>
          <w:szCs w:val="28"/>
        </w:rPr>
        <w:tab/>
        <w:t xml:space="preserve">EL </w:t>
      </w:r>
      <w:r w:rsidRPr="00CC290E">
        <w:rPr>
          <w:color w:val="1F3864"/>
          <w:sz w:val="28"/>
          <w:szCs w:val="28"/>
        </w:rPr>
        <w:t xml:space="preserve">CAIRO – </w:t>
      </w:r>
      <w:r>
        <w:rPr>
          <w:color w:val="1F3864"/>
          <w:sz w:val="28"/>
          <w:szCs w:val="28"/>
        </w:rPr>
        <w:t xml:space="preserve">ASWAN </w:t>
      </w:r>
      <w:r w:rsidRPr="00CC290E">
        <w:rPr>
          <w:color w:val="1F3864"/>
          <w:sz w:val="28"/>
          <w:szCs w:val="28"/>
        </w:rPr>
        <w:t>(VUELO INCLUIDO)</w:t>
      </w:r>
    </w:p>
    <w:p w:rsidR="00A44779" w:rsidRDefault="00A44779" w:rsidP="00A44779">
      <w:pPr>
        <w:pStyle w:val="itinerario"/>
      </w:pPr>
      <w:r>
        <w:t>Desayuno en el hotel. A la hora convenida</w:t>
      </w:r>
      <w:r w:rsidRPr="009B5ACC">
        <w:t xml:space="preserve">, traslado al aeropuerto domestico para tomar el vuelo con destino </w:t>
      </w:r>
      <w:r w:rsidR="007267A6">
        <w:t>Aswan</w:t>
      </w:r>
      <w:r w:rsidRPr="009B5ACC">
        <w:t xml:space="preserve">. A la llegada, recibimiento y traslado al muelle. </w:t>
      </w:r>
      <w:r>
        <w:t xml:space="preserve">Embarque y almuerzo a bordo. Visitaremos </w:t>
      </w:r>
      <w:r w:rsidR="007267A6">
        <w:t xml:space="preserve">la </w:t>
      </w:r>
      <w:r>
        <w:t xml:space="preserve">Alta presa de Aswan, así como templo de Philae, regresar </w:t>
      </w:r>
      <w:r w:rsidR="007267A6">
        <w:t>al barco</w:t>
      </w:r>
      <w:r>
        <w:t>, cena y noche abordo.</w:t>
      </w:r>
    </w:p>
    <w:p w:rsidR="007267A6" w:rsidRPr="007267A6" w:rsidRDefault="007267A6" w:rsidP="007267A6">
      <w:pPr>
        <w:pStyle w:val="dias"/>
        <w:rPr>
          <w:sz w:val="28"/>
          <w:szCs w:val="28"/>
        </w:rPr>
      </w:pPr>
      <w:r w:rsidRPr="007267A6">
        <w:rPr>
          <w:color w:val="1F3864"/>
          <w:sz w:val="28"/>
          <w:szCs w:val="28"/>
        </w:rPr>
        <w:t>DÍA 5</w:t>
      </w:r>
      <w:r w:rsidRPr="007267A6">
        <w:rPr>
          <w:color w:val="1F3864"/>
          <w:sz w:val="28"/>
          <w:szCs w:val="28"/>
        </w:rPr>
        <w:tab/>
      </w:r>
      <w:r w:rsidRPr="007267A6">
        <w:rPr>
          <w:color w:val="1F3864"/>
          <w:sz w:val="28"/>
          <w:szCs w:val="28"/>
        </w:rPr>
        <w:tab/>
        <w:t>JUEVES</w:t>
      </w:r>
      <w:r w:rsidRPr="007267A6">
        <w:rPr>
          <w:color w:val="1F3864"/>
          <w:sz w:val="28"/>
          <w:szCs w:val="28"/>
        </w:rPr>
        <w:tab/>
      </w:r>
      <w:r w:rsidRPr="007267A6">
        <w:rPr>
          <w:color w:val="1F3864"/>
          <w:sz w:val="28"/>
          <w:szCs w:val="28"/>
        </w:rPr>
        <w:tab/>
        <w:t>ASWAN – KOM OMBO - EDFU</w:t>
      </w:r>
    </w:p>
    <w:p w:rsidR="007267A6" w:rsidRDefault="00A44779" w:rsidP="00A44779">
      <w:pPr>
        <w:pStyle w:val="itinerario"/>
      </w:pPr>
      <w:r>
        <w:t>Pensión completa a</w:t>
      </w:r>
      <w:r w:rsidR="007267A6">
        <w:t xml:space="preserve"> </w:t>
      </w:r>
      <w:r>
        <w:t>bordo</w:t>
      </w:r>
      <w:r w:rsidR="007267A6">
        <w:t xml:space="preserve">. </w:t>
      </w:r>
      <w:r>
        <w:t>Navegación hacia Kom Ombo, Llegada y visita al templo de Sobek y Haroeris en Kom Ombo. Navegación hacia Edfu</w:t>
      </w:r>
      <w:r w:rsidR="007267A6">
        <w:t xml:space="preserve"> y noche a bordo.</w:t>
      </w:r>
    </w:p>
    <w:p w:rsidR="00A44779" w:rsidRPr="007267A6" w:rsidRDefault="007267A6" w:rsidP="007267A6">
      <w:pPr>
        <w:pStyle w:val="dias"/>
        <w:rPr>
          <w:color w:val="1F3864"/>
          <w:sz w:val="28"/>
          <w:szCs w:val="28"/>
        </w:rPr>
      </w:pPr>
      <w:r w:rsidRPr="007267A6">
        <w:rPr>
          <w:color w:val="1F3864"/>
          <w:sz w:val="28"/>
          <w:szCs w:val="28"/>
        </w:rPr>
        <w:t>DÍA 6</w:t>
      </w:r>
      <w:r w:rsidRPr="007267A6">
        <w:rPr>
          <w:color w:val="1F3864"/>
          <w:sz w:val="28"/>
          <w:szCs w:val="28"/>
        </w:rPr>
        <w:tab/>
      </w:r>
      <w:r w:rsidRPr="007267A6">
        <w:rPr>
          <w:color w:val="1F3864"/>
          <w:sz w:val="28"/>
          <w:szCs w:val="28"/>
        </w:rPr>
        <w:tab/>
        <w:t>VIERNES</w:t>
      </w:r>
      <w:r w:rsidRPr="007267A6">
        <w:rPr>
          <w:color w:val="1F3864"/>
          <w:sz w:val="28"/>
          <w:szCs w:val="28"/>
        </w:rPr>
        <w:tab/>
      </w:r>
      <w:r w:rsidRPr="007267A6">
        <w:rPr>
          <w:color w:val="1F3864"/>
          <w:sz w:val="28"/>
          <w:szCs w:val="28"/>
        </w:rPr>
        <w:tab/>
        <w:t xml:space="preserve">EDFU – LUXOR </w:t>
      </w:r>
    </w:p>
    <w:p w:rsidR="00A44779" w:rsidRDefault="007267A6" w:rsidP="00A44779">
      <w:pPr>
        <w:pStyle w:val="itinerario"/>
      </w:pPr>
      <w:r>
        <w:t>Pensión completa abordo. V</w:t>
      </w:r>
      <w:r w:rsidR="00A44779">
        <w:t xml:space="preserve">isita al templo de Edfu. Regreso </w:t>
      </w:r>
      <w:r>
        <w:t>y</w:t>
      </w:r>
      <w:r w:rsidR="00A44779">
        <w:t xml:space="preserve"> navegación hacia Luxor.  Visita a la Orilla Oriental, </w:t>
      </w:r>
      <w:r w:rsidR="00F629F7">
        <w:t>Templo de</w:t>
      </w:r>
      <w:r w:rsidR="00A44779">
        <w:t xml:space="preserve"> Luxor y el Templo de Karnak</w:t>
      </w:r>
      <w:r w:rsidR="00F629F7">
        <w:t>. Noche a bordo e</w:t>
      </w:r>
      <w:r w:rsidR="00A44779">
        <w:t>n Luxor.</w:t>
      </w:r>
    </w:p>
    <w:p w:rsidR="00A44779" w:rsidRPr="00F629F7" w:rsidRDefault="00F629F7" w:rsidP="00F629F7">
      <w:pPr>
        <w:pStyle w:val="dias"/>
        <w:rPr>
          <w:color w:val="1F3864"/>
          <w:sz w:val="28"/>
          <w:szCs w:val="28"/>
        </w:rPr>
      </w:pPr>
      <w:r w:rsidRPr="00F629F7">
        <w:rPr>
          <w:color w:val="1F3864"/>
          <w:sz w:val="28"/>
          <w:szCs w:val="28"/>
        </w:rPr>
        <w:t>DÍA 7</w:t>
      </w:r>
      <w:r w:rsidRPr="00F629F7">
        <w:rPr>
          <w:color w:val="1F3864"/>
          <w:sz w:val="28"/>
          <w:szCs w:val="28"/>
        </w:rPr>
        <w:tab/>
      </w:r>
      <w:r w:rsidRPr="00F629F7">
        <w:rPr>
          <w:color w:val="1F3864"/>
          <w:sz w:val="28"/>
          <w:szCs w:val="28"/>
        </w:rPr>
        <w:tab/>
        <w:t>SÁBADO</w:t>
      </w:r>
      <w:r w:rsidRPr="00F629F7">
        <w:rPr>
          <w:color w:val="1F3864"/>
          <w:sz w:val="28"/>
          <w:szCs w:val="28"/>
        </w:rPr>
        <w:tab/>
      </w:r>
      <w:r w:rsidRPr="00F629F7">
        <w:rPr>
          <w:caps w:val="0"/>
          <w:color w:val="1F3864"/>
          <w:sz w:val="28"/>
          <w:szCs w:val="28"/>
        </w:rPr>
        <w:tab/>
        <w:t>LUXOR – HURG</w:t>
      </w:r>
      <w:r>
        <w:rPr>
          <w:caps w:val="0"/>
          <w:color w:val="1F3864"/>
          <w:sz w:val="28"/>
          <w:szCs w:val="28"/>
        </w:rPr>
        <w:t>H</w:t>
      </w:r>
      <w:r w:rsidRPr="00F629F7">
        <w:rPr>
          <w:caps w:val="0"/>
          <w:color w:val="1F3864"/>
          <w:sz w:val="28"/>
          <w:szCs w:val="28"/>
        </w:rPr>
        <w:t xml:space="preserve">ADA </w:t>
      </w:r>
    </w:p>
    <w:p w:rsidR="00A44779" w:rsidRDefault="00A44779" w:rsidP="00A44779">
      <w:pPr>
        <w:pStyle w:val="itinerario"/>
      </w:pPr>
      <w:r>
        <w:t>Desayuno. Desembarque: visita a la Necrópolis de Tebas (El valle de los Reyes, Templo de la Reina Hatshepsut conocido como El Deir el Bahari, las ruinas del Templo de Amenofis III donde podremos admirar los Colosos de Memnon)</w:t>
      </w:r>
      <w:r w:rsidR="00F629F7">
        <w:t>. S</w:t>
      </w:r>
      <w:r>
        <w:t xml:space="preserve">alida a las 03.00 </w:t>
      </w:r>
      <w:r w:rsidR="00F629F7">
        <w:t>p.m.</w:t>
      </w:r>
      <w:r>
        <w:t xml:space="preserve"> a </w:t>
      </w:r>
      <w:r w:rsidR="00F629F7">
        <w:t>Hurghada</w:t>
      </w:r>
      <w:r>
        <w:t xml:space="preserve">, </w:t>
      </w:r>
      <w:r w:rsidR="00F629F7">
        <w:t xml:space="preserve">visita panorámica de </w:t>
      </w:r>
      <w:r>
        <w:t xml:space="preserve">la ciudad y traslado </w:t>
      </w:r>
      <w:r w:rsidR="00F629F7">
        <w:t xml:space="preserve">al aeropuerto </w:t>
      </w:r>
      <w:r>
        <w:t xml:space="preserve">para tomar el vuelo </w:t>
      </w:r>
      <w:r w:rsidR="00F629F7">
        <w:t>con destino Estambul.</w:t>
      </w:r>
    </w:p>
    <w:p w:rsidR="00A44779" w:rsidRPr="00B9111C" w:rsidRDefault="00F629F7" w:rsidP="00A44779">
      <w:pPr>
        <w:pStyle w:val="dias"/>
        <w:rPr>
          <w:color w:val="1F3864"/>
          <w:sz w:val="28"/>
          <w:szCs w:val="28"/>
        </w:rPr>
      </w:pPr>
      <w:r w:rsidRPr="00B9111C">
        <w:rPr>
          <w:caps w:val="0"/>
          <w:color w:val="1F3864"/>
          <w:sz w:val="28"/>
          <w:szCs w:val="28"/>
        </w:rPr>
        <w:t xml:space="preserve">DÍA </w:t>
      </w:r>
      <w:r>
        <w:rPr>
          <w:caps w:val="0"/>
          <w:color w:val="1F3864"/>
          <w:sz w:val="28"/>
          <w:szCs w:val="28"/>
        </w:rPr>
        <w:t>8</w:t>
      </w:r>
      <w:r>
        <w:rPr>
          <w:caps w:val="0"/>
          <w:color w:val="1F3864"/>
          <w:sz w:val="28"/>
          <w:szCs w:val="28"/>
        </w:rPr>
        <w:tab/>
      </w:r>
      <w:r w:rsidRPr="00B9111C">
        <w:rPr>
          <w:caps w:val="0"/>
          <w:color w:val="1F3864"/>
          <w:sz w:val="28"/>
          <w:szCs w:val="28"/>
        </w:rPr>
        <w:tab/>
      </w:r>
      <w:r>
        <w:rPr>
          <w:caps w:val="0"/>
          <w:color w:val="1F3864"/>
          <w:sz w:val="28"/>
          <w:szCs w:val="28"/>
        </w:rPr>
        <w:t>DOMINGO</w:t>
      </w:r>
      <w:r w:rsidRPr="00B9111C">
        <w:rPr>
          <w:caps w:val="0"/>
          <w:color w:val="1F3864"/>
          <w:sz w:val="28"/>
          <w:szCs w:val="28"/>
        </w:rPr>
        <w:tab/>
      </w:r>
      <w:r>
        <w:rPr>
          <w:caps w:val="0"/>
          <w:color w:val="1F3864"/>
          <w:sz w:val="28"/>
          <w:szCs w:val="28"/>
        </w:rPr>
        <w:tab/>
        <w:t>HURGHADA</w:t>
      </w:r>
      <w:r w:rsidRPr="00B9111C">
        <w:rPr>
          <w:caps w:val="0"/>
          <w:color w:val="1F3864"/>
          <w:sz w:val="28"/>
          <w:szCs w:val="28"/>
        </w:rPr>
        <w:t xml:space="preserve"> – </w:t>
      </w:r>
      <w:r w:rsidRPr="00C2778E">
        <w:rPr>
          <w:caps w:val="0"/>
          <w:color w:val="1F3864"/>
          <w:sz w:val="28"/>
          <w:szCs w:val="28"/>
        </w:rPr>
        <w:t>ESTAMBUL (VUELO INCLUIDO)</w:t>
      </w:r>
      <w:r w:rsidRPr="00B9111C">
        <w:rPr>
          <w:caps w:val="0"/>
          <w:color w:val="1F3864"/>
          <w:sz w:val="28"/>
          <w:szCs w:val="28"/>
        </w:rPr>
        <w:t xml:space="preserve"> </w:t>
      </w:r>
    </w:p>
    <w:p w:rsidR="00A44779" w:rsidRPr="00A024E3" w:rsidRDefault="00F629F7" w:rsidP="00A44779">
      <w:pPr>
        <w:pStyle w:val="itinerario"/>
      </w:pPr>
      <w:r>
        <w:t>Salida en e</w:t>
      </w:r>
      <w:r w:rsidR="00A44779" w:rsidRPr="00423687">
        <w:t xml:space="preserve">l vuelo de TURKISH con destino Estambul. A la llegada, recibimiento y </w:t>
      </w:r>
      <w:r w:rsidR="00A44779">
        <w:t xml:space="preserve">traslado al hotel. </w:t>
      </w:r>
      <w:r w:rsidR="00A44779" w:rsidRPr="00423687">
        <w:t>Alojamiento.</w:t>
      </w:r>
      <w:r>
        <w:t xml:space="preserve"> Se </w:t>
      </w:r>
      <w:r w:rsidRPr="00A024E3">
        <w:t>contará con su habitación desde el momento que se llegue al hotel.</w:t>
      </w:r>
    </w:p>
    <w:p w:rsidR="00F629F7" w:rsidRPr="00A024E3" w:rsidRDefault="00F629F7" w:rsidP="00A44779">
      <w:pPr>
        <w:pStyle w:val="itinerario"/>
      </w:pPr>
    </w:p>
    <w:p w:rsidR="00F629F7" w:rsidRPr="00A024E3" w:rsidRDefault="00F629F7" w:rsidP="00A4477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D45F12">
        <w:t>Alojamiento en el hotel.</w:t>
      </w:r>
    </w:p>
    <w:p w:rsidR="006D7FF0" w:rsidRPr="00A024E3" w:rsidRDefault="00F629F7" w:rsidP="00684095">
      <w:pPr>
        <w:pStyle w:val="dias"/>
        <w:rPr>
          <w:sz w:val="28"/>
          <w:szCs w:val="28"/>
        </w:rPr>
      </w:pPr>
      <w:r w:rsidRPr="00A024E3">
        <w:rPr>
          <w:caps w:val="0"/>
          <w:color w:val="1F3864"/>
          <w:sz w:val="28"/>
          <w:szCs w:val="28"/>
        </w:rPr>
        <w:t>DÍA 9</w:t>
      </w:r>
      <w:r w:rsidRPr="00A024E3">
        <w:rPr>
          <w:caps w:val="0"/>
          <w:color w:val="1F3864"/>
          <w:sz w:val="28"/>
          <w:szCs w:val="28"/>
        </w:rPr>
        <w:tab/>
      </w:r>
      <w:r w:rsidRPr="00A024E3">
        <w:rPr>
          <w:caps w:val="0"/>
          <w:color w:val="1F3864"/>
          <w:sz w:val="28"/>
          <w:szCs w:val="28"/>
        </w:rPr>
        <w:tab/>
        <w:t>LUNES</w:t>
      </w:r>
      <w:r w:rsidRPr="00A024E3">
        <w:rPr>
          <w:caps w:val="0"/>
          <w:color w:val="1F3864"/>
          <w:sz w:val="28"/>
          <w:szCs w:val="28"/>
        </w:rPr>
        <w:tab/>
      </w:r>
      <w:r w:rsidRPr="00A024E3">
        <w:rPr>
          <w:caps w:val="0"/>
          <w:color w:val="1F3864"/>
          <w:sz w:val="28"/>
          <w:szCs w:val="28"/>
        </w:rPr>
        <w:tab/>
        <w:t xml:space="preserve">ESTAMBUL – ANKARA – CAPADOCIA   </w:t>
      </w:r>
    </w:p>
    <w:p w:rsidR="006D7FF0" w:rsidRPr="00A024E3" w:rsidRDefault="006D7FF0" w:rsidP="006D7FF0">
      <w:pPr>
        <w:pStyle w:val="itinerario"/>
      </w:pPr>
      <w:r w:rsidRPr="00A024E3">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En las horas de la noche, salida para realizar una excursión </w:t>
      </w:r>
      <w:r w:rsidRPr="00A024E3">
        <w:rPr>
          <w:b/>
          <w:color w:val="1F3864"/>
        </w:rPr>
        <w:t>OPCIONAL</w:t>
      </w:r>
      <w:r w:rsidRPr="00A024E3">
        <w:rPr>
          <w:b/>
        </w:rPr>
        <w:t xml:space="preserve"> </w:t>
      </w:r>
      <w:r w:rsidRPr="00A024E3">
        <w:t>para presenciar el show Noche Turca.</w:t>
      </w:r>
    </w:p>
    <w:p w:rsidR="006D7FF0" w:rsidRPr="00A024E3" w:rsidRDefault="00F629F7" w:rsidP="006D7FF0">
      <w:pPr>
        <w:pStyle w:val="dias"/>
        <w:rPr>
          <w:color w:val="1F3864"/>
          <w:sz w:val="28"/>
          <w:szCs w:val="28"/>
        </w:rPr>
      </w:pPr>
      <w:r w:rsidRPr="00A024E3">
        <w:rPr>
          <w:caps w:val="0"/>
          <w:color w:val="1F3864"/>
          <w:sz w:val="28"/>
          <w:szCs w:val="28"/>
        </w:rPr>
        <w:t>DÍA 10</w:t>
      </w:r>
      <w:r w:rsidRPr="00A024E3">
        <w:rPr>
          <w:caps w:val="0"/>
          <w:color w:val="1F3864"/>
          <w:sz w:val="28"/>
          <w:szCs w:val="28"/>
        </w:rPr>
        <w:tab/>
        <w:t>MARTES</w:t>
      </w:r>
      <w:r w:rsidRPr="00A024E3">
        <w:rPr>
          <w:caps w:val="0"/>
          <w:color w:val="1F3864"/>
          <w:sz w:val="28"/>
          <w:szCs w:val="28"/>
        </w:rPr>
        <w:tab/>
        <w:t xml:space="preserve"> </w:t>
      </w:r>
      <w:r w:rsidRPr="00A024E3">
        <w:rPr>
          <w:caps w:val="0"/>
          <w:color w:val="1F3864"/>
          <w:sz w:val="28"/>
          <w:szCs w:val="28"/>
        </w:rPr>
        <w:tab/>
        <w:t xml:space="preserve">CAPADOCIA </w:t>
      </w:r>
    </w:p>
    <w:p w:rsidR="006D7FF0" w:rsidRPr="00A024E3" w:rsidRDefault="006D7FF0" w:rsidP="006D7FF0">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6D7FF0" w:rsidRPr="00A024E3" w:rsidRDefault="006D7FF0" w:rsidP="006D7FF0">
      <w:pPr>
        <w:pStyle w:val="itinerario"/>
      </w:pPr>
    </w:p>
    <w:p w:rsidR="006D7FF0" w:rsidRPr="00A024E3" w:rsidRDefault="006D7FF0" w:rsidP="006D7FF0">
      <w:pPr>
        <w:pStyle w:val="itinerario"/>
      </w:pPr>
      <w:r w:rsidRPr="00A024E3">
        <w:t>Desayuno en el hotel. Excursión de día completo por el fascinante mundo de Capadocia con sus iglesias excavadas en el valle de Göreme, sus pueblecitos trogloditas, la fortaleza de Uçhisar y los valles de Avcilar y</w:t>
      </w:r>
      <w:r w:rsidR="003A1F29" w:rsidRPr="00A024E3">
        <w:t xml:space="preserve"> Pasabagi </w:t>
      </w:r>
      <w:r w:rsidRPr="00A024E3">
        <w:t xml:space="preserve">con las chimeneas de las hadas encantadas en un paisaje surrealista y extraordinario. Paradas en los valles de Avcilar y Güvercinlik donde se disfruta de un increíble paisaje lunar. Visita de un taller de alfombras y de joyerías. Almuerzo. Cena y alojamiento en el hotel. </w:t>
      </w:r>
    </w:p>
    <w:p w:rsidR="006D7FF0" w:rsidRPr="00A024E3" w:rsidRDefault="00F629F7" w:rsidP="006D7FF0">
      <w:pPr>
        <w:pStyle w:val="dias"/>
        <w:rPr>
          <w:color w:val="1F3864"/>
          <w:sz w:val="28"/>
          <w:szCs w:val="28"/>
        </w:rPr>
      </w:pPr>
      <w:r w:rsidRPr="00A024E3">
        <w:rPr>
          <w:color w:val="1F3864"/>
          <w:sz w:val="28"/>
          <w:szCs w:val="28"/>
        </w:rPr>
        <w:t>DÍA 11</w:t>
      </w:r>
      <w:r w:rsidRPr="00A024E3">
        <w:rPr>
          <w:color w:val="1F3864"/>
          <w:sz w:val="28"/>
          <w:szCs w:val="28"/>
        </w:rPr>
        <w:tab/>
        <w:t>MIÉRCOLES</w:t>
      </w:r>
      <w:r w:rsidRPr="00A024E3">
        <w:rPr>
          <w:color w:val="1F3864"/>
          <w:sz w:val="28"/>
          <w:szCs w:val="28"/>
        </w:rPr>
        <w:tab/>
      </w:r>
      <w:r w:rsidRPr="00A024E3">
        <w:rPr>
          <w:color w:val="1F3864"/>
          <w:sz w:val="28"/>
          <w:szCs w:val="28"/>
        </w:rPr>
        <w:tab/>
      </w:r>
      <w:r w:rsidR="006D7FF0" w:rsidRPr="00A024E3">
        <w:rPr>
          <w:color w:val="1F3864"/>
          <w:sz w:val="28"/>
          <w:szCs w:val="28"/>
        </w:rPr>
        <w:t xml:space="preserve">CAPADOCIA – KONYA – PAMUKKALE  </w:t>
      </w:r>
    </w:p>
    <w:p w:rsidR="006D7FF0" w:rsidRPr="00A024E3" w:rsidRDefault="006D7FF0" w:rsidP="006D7FF0">
      <w:pPr>
        <w:pStyle w:val="itinerario"/>
      </w:pPr>
      <w:r w:rsidRPr="00A024E3">
        <w:t xml:space="preserve">De madrugada, habría la posibilidad de realizar el paseo </w:t>
      </w:r>
      <w:r w:rsidRPr="00A024E3">
        <w:rPr>
          <w:b/>
          <w:color w:val="1F3864"/>
        </w:rPr>
        <w:t>OPCIONAL</w:t>
      </w:r>
      <w:r w:rsidRPr="00A024E3">
        <w:t xml:space="preserve"> en Globo – sujeto a disponibilidad y/o condiciones meteorológicas (si no se realizó el día anterior por las condiciones mencionadas). Regreso al hotel a tiempo para desayunar.</w:t>
      </w:r>
    </w:p>
    <w:p w:rsidR="006D7FF0" w:rsidRPr="00A024E3" w:rsidRDefault="006D7FF0" w:rsidP="006D7FF0">
      <w:pPr>
        <w:pStyle w:val="itinerario"/>
      </w:pPr>
    </w:p>
    <w:p w:rsidR="006D7FF0" w:rsidRPr="00A024E3" w:rsidRDefault="006D7FF0" w:rsidP="006D7FF0">
      <w:pPr>
        <w:pStyle w:val="itinerario"/>
      </w:pPr>
      <w:r w:rsidRPr="00A024E3">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6D7FF0" w:rsidRPr="00A024E3" w:rsidRDefault="00F629F7" w:rsidP="006D7FF0">
      <w:pPr>
        <w:pStyle w:val="dias"/>
        <w:rPr>
          <w:color w:val="1F3864"/>
          <w:sz w:val="28"/>
          <w:szCs w:val="28"/>
        </w:rPr>
      </w:pPr>
      <w:r w:rsidRPr="00A024E3">
        <w:rPr>
          <w:color w:val="1F3864"/>
          <w:sz w:val="28"/>
          <w:szCs w:val="28"/>
        </w:rPr>
        <w:t>DÍA 12</w:t>
      </w:r>
      <w:r w:rsidRPr="00A024E3">
        <w:rPr>
          <w:color w:val="1F3864"/>
          <w:sz w:val="28"/>
          <w:szCs w:val="28"/>
        </w:rPr>
        <w:tab/>
        <w:t>JUEVES</w:t>
      </w:r>
      <w:r w:rsidRPr="00A024E3">
        <w:rPr>
          <w:color w:val="1F3864"/>
          <w:sz w:val="28"/>
          <w:szCs w:val="28"/>
        </w:rPr>
        <w:tab/>
      </w:r>
      <w:r w:rsidRPr="00A024E3">
        <w:rPr>
          <w:color w:val="1F3864"/>
          <w:sz w:val="28"/>
          <w:szCs w:val="28"/>
        </w:rPr>
        <w:tab/>
      </w:r>
      <w:r w:rsidR="006D7FF0" w:rsidRPr="00A024E3">
        <w:rPr>
          <w:color w:val="1F3864"/>
          <w:sz w:val="28"/>
          <w:szCs w:val="28"/>
        </w:rPr>
        <w:t xml:space="preserve">PAMUKKALE – KUSADASI </w:t>
      </w:r>
    </w:p>
    <w:p w:rsidR="006D7FF0" w:rsidRPr="00A024E3" w:rsidRDefault="006D7FF0" w:rsidP="006D7FF0">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6D7FF0" w:rsidRPr="00A024E3" w:rsidRDefault="006D7FF0" w:rsidP="006D7FF0">
      <w:pPr>
        <w:pStyle w:val="itinerario"/>
      </w:pPr>
    </w:p>
    <w:p w:rsidR="006D7FF0" w:rsidRPr="00A024E3" w:rsidRDefault="006D7FF0" w:rsidP="006D7FF0">
      <w:pPr>
        <w:pStyle w:val="itinerario"/>
      </w:pPr>
      <w:r w:rsidRPr="00A024E3">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BF3274" w:rsidRDefault="00BF3274" w:rsidP="006D7FF0">
      <w:pPr>
        <w:pStyle w:val="dias"/>
        <w:rPr>
          <w:color w:val="1F3864"/>
          <w:sz w:val="28"/>
          <w:szCs w:val="28"/>
        </w:rPr>
      </w:pPr>
    </w:p>
    <w:p w:rsidR="00BF3274" w:rsidRDefault="00BF3274" w:rsidP="006D7FF0">
      <w:pPr>
        <w:pStyle w:val="dias"/>
        <w:rPr>
          <w:color w:val="1F3864"/>
          <w:sz w:val="28"/>
          <w:szCs w:val="28"/>
        </w:rPr>
      </w:pPr>
    </w:p>
    <w:p w:rsidR="00BF3274" w:rsidRDefault="00BF3274" w:rsidP="006D7FF0">
      <w:pPr>
        <w:pStyle w:val="dias"/>
        <w:rPr>
          <w:color w:val="1F3864"/>
          <w:sz w:val="28"/>
          <w:szCs w:val="28"/>
        </w:rPr>
      </w:pPr>
    </w:p>
    <w:p w:rsidR="006D7FF0" w:rsidRPr="00A024E3" w:rsidRDefault="00F629F7" w:rsidP="006D7FF0">
      <w:pPr>
        <w:pStyle w:val="dias"/>
        <w:rPr>
          <w:color w:val="1F3864"/>
          <w:sz w:val="28"/>
          <w:szCs w:val="28"/>
        </w:rPr>
      </w:pPr>
      <w:r w:rsidRPr="00A024E3">
        <w:rPr>
          <w:color w:val="1F3864"/>
          <w:sz w:val="28"/>
          <w:szCs w:val="28"/>
        </w:rPr>
        <w:t>DÍA 13</w:t>
      </w:r>
      <w:r w:rsidRPr="00A024E3">
        <w:rPr>
          <w:color w:val="1F3864"/>
          <w:sz w:val="28"/>
          <w:szCs w:val="28"/>
        </w:rPr>
        <w:tab/>
        <w:t>VIERNES</w:t>
      </w:r>
      <w:r w:rsidRPr="00A024E3">
        <w:rPr>
          <w:color w:val="1F3864"/>
          <w:sz w:val="28"/>
          <w:szCs w:val="28"/>
        </w:rPr>
        <w:tab/>
      </w:r>
      <w:r w:rsidR="006D7FF0" w:rsidRPr="00A024E3">
        <w:rPr>
          <w:color w:val="1F3864"/>
          <w:sz w:val="28"/>
          <w:szCs w:val="28"/>
        </w:rPr>
        <w:tab/>
        <w:t xml:space="preserve">KUSADASI </w:t>
      </w:r>
    </w:p>
    <w:p w:rsidR="00A37D47" w:rsidRPr="00A024E3" w:rsidRDefault="005F173A" w:rsidP="00536CBE">
      <w:pPr>
        <w:pStyle w:val="itinerario"/>
      </w:pPr>
      <w:r w:rsidRPr="00A024E3">
        <w:t xml:space="preserve">Desayuno en el hotel. Día libre para actividades personales. </w:t>
      </w:r>
      <w:r w:rsidR="00536CBE">
        <w:t>Se</w:t>
      </w:r>
      <w:r w:rsidRPr="00A024E3">
        <w:t xml:space="preserve"> podrá realizar una excursión </w:t>
      </w:r>
      <w:r w:rsidRPr="00A024E3">
        <w:rPr>
          <w:b/>
          <w:color w:val="1F3864"/>
        </w:rPr>
        <w:t xml:space="preserve">OPCIONAL </w:t>
      </w:r>
      <w:r w:rsidRPr="00A024E3">
        <w:t>a la Isla Griega Samos que pertenece al grupo de islas Espóradas orientales y se sitúa en aguas del mar Egeo al norte del archipiélago del Dodecaneso. Destaca por el templo de Hera y el túnel de Eupalino. En la mitología es el lugar de nacimiento de Hera, esposa de Zeus. Aquí nació también el “padre de las matemáticas”, Pitágoras. En la parte más oriental del Egeo, a 18 millas marinas de la costa de Asia Menor, Samos se distingue por la incomparable belleza de su entorno natural. Traslado del hotel al puerto de Kusadasi. Después del proceso de inmigración, salida con ferry hacia la Isla de Samos. Llegada en 1 hora. Después de la inmigración para entrar a Grecia, tiempo libre en Pythagorion (derivado del nombre del famoso matemático) al sureste de la isla. Al pueblo pintoresco de calles estrechas y casas encaladas se añade una bella playa, un puerto deportivo e interesantes restos arqueológicos que visitar; restos de la muralla que defendía el puerto con sus torres, parte del antiguo acueducto de Eupalino, una antigua necrópolis paleocristiana, el monasterio de la Virgen de la Cueva, etc. Hoy es un pueblo pintoresco de puerto encantador, el lugar más visitado de la isla debido a su historia y belleza. Se puede pasear por la zona del puerto visitando las pequeñas tiendas de recuerdos ubicadas a cada lado de la carretera que conduce hasta el puerto deportivo, o disfrutar de deliciosos mezes (entremeses) griegos, pulpo seco a la brasa y taramas en pequeños restaurantes alineados a lo largo de la costa hasta que comencemos la visita guiada de la isla para descubrir el resto de las joyas de la isla. Nuestra siguiente parada será el centro de alfarería en la aldea de Koumaradei. Aquí se demuestra su habilidad y quien sabe tal vez se hará la mejor cerámica, placa o bandeja para decorar su casa o dar a uno de sus seres queridos como un regalo. Continuando nuestro recorrido a la capital de la isla de Samos llamado Vathy (Samos) donde podrá disfrutar de la visita de las tiendas de recuerdos, pequeñas calles estrechas que invitan a un paseo, ensombrecidas por jardines y flores en cafés locales junto con una gran variedad de restaurantes, sin dejar de mencionar el Museo del Vino y el Museo Arqueológico. Vamos a tener la oportunidad de probar deliciosas comidas tradicionales de la cocina griega, especialmente pescado y marisco, en los abundantes restaurantes de la zona. Finalmente llegaremos a Kokkari, pintoresco pueblo con una pequeña iglesia y rodeado de viñedos, pinos y olivos. En los últimos años se ha convertido en uno de los centros turísticos de la isla más apreciados por sus playas y bellos paisajes. Regreso a Kusadasi. Cena y alojamiento en el hotel.</w:t>
      </w:r>
    </w:p>
    <w:p w:rsidR="006D7FF0" w:rsidRPr="00A024E3" w:rsidRDefault="006D7FF0" w:rsidP="006D7FF0">
      <w:pPr>
        <w:pStyle w:val="dias"/>
        <w:rPr>
          <w:color w:val="1F3864"/>
          <w:sz w:val="28"/>
          <w:szCs w:val="28"/>
        </w:rPr>
      </w:pPr>
      <w:r w:rsidRPr="00A024E3">
        <w:rPr>
          <w:color w:val="1F3864"/>
          <w:sz w:val="28"/>
          <w:szCs w:val="28"/>
        </w:rPr>
        <w:t xml:space="preserve">DÍA </w:t>
      </w:r>
      <w:r w:rsidR="00F629F7" w:rsidRPr="00A024E3">
        <w:rPr>
          <w:color w:val="1F3864"/>
          <w:sz w:val="28"/>
          <w:szCs w:val="28"/>
        </w:rPr>
        <w:t>14</w:t>
      </w:r>
      <w:r w:rsidR="00F629F7" w:rsidRPr="00A024E3">
        <w:rPr>
          <w:color w:val="1F3864"/>
          <w:sz w:val="28"/>
          <w:szCs w:val="28"/>
        </w:rPr>
        <w:tab/>
        <w:t>sábado</w:t>
      </w:r>
      <w:r w:rsidR="005F173A" w:rsidRPr="00A024E3">
        <w:rPr>
          <w:color w:val="1F3864"/>
          <w:sz w:val="28"/>
          <w:szCs w:val="28"/>
        </w:rPr>
        <w:tab/>
      </w:r>
      <w:r w:rsidR="005F173A" w:rsidRPr="00A024E3">
        <w:rPr>
          <w:color w:val="1F3864"/>
          <w:sz w:val="28"/>
          <w:szCs w:val="28"/>
        </w:rPr>
        <w:tab/>
      </w:r>
      <w:r w:rsidR="005F173A" w:rsidRPr="00A024E3">
        <w:rPr>
          <w:caps w:val="0"/>
          <w:color w:val="1F3864"/>
          <w:sz w:val="28"/>
          <w:szCs w:val="28"/>
        </w:rPr>
        <w:t xml:space="preserve">KUSADASI – BURSA – ESTAMBUL  </w:t>
      </w:r>
    </w:p>
    <w:p w:rsidR="006D7FF0" w:rsidRPr="008E540C" w:rsidRDefault="006D7FF0" w:rsidP="006D7FF0">
      <w:pPr>
        <w:pStyle w:val="itinerario"/>
      </w:pPr>
      <w:r w:rsidRPr="00A024E3">
        <w:t>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w:t>
      </w:r>
      <w:r w:rsidRPr="008E540C">
        <w:t xml:space="preserve"> </w:t>
      </w:r>
    </w:p>
    <w:p w:rsidR="006D7FF0" w:rsidRPr="008E540C" w:rsidRDefault="006D7FF0" w:rsidP="006D7FF0">
      <w:pPr>
        <w:pStyle w:val="dias"/>
        <w:rPr>
          <w:color w:val="1F3864"/>
          <w:sz w:val="28"/>
          <w:szCs w:val="28"/>
        </w:rPr>
      </w:pPr>
      <w:r w:rsidRPr="008E540C">
        <w:rPr>
          <w:color w:val="1F3864"/>
          <w:sz w:val="28"/>
          <w:szCs w:val="28"/>
        </w:rPr>
        <w:t xml:space="preserve">DÍA </w:t>
      </w:r>
      <w:r w:rsidR="00B27F8E">
        <w:rPr>
          <w:color w:val="1F3864"/>
          <w:sz w:val="28"/>
          <w:szCs w:val="28"/>
        </w:rPr>
        <w:t>15</w:t>
      </w:r>
      <w:r w:rsidR="00B27F8E">
        <w:rPr>
          <w:color w:val="1F3864"/>
          <w:sz w:val="28"/>
          <w:szCs w:val="28"/>
        </w:rPr>
        <w:tab/>
        <w:t>domingo</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6D7FF0" w:rsidRPr="008E540C"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Alojamiento en el hotel.</w:t>
      </w:r>
    </w:p>
    <w:p w:rsidR="00536CBE" w:rsidRDefault="00536CBE" w:rsidP="006D7FF0">
      <w:pPr>
        <w:pStyle w:val="dias"/>
        <w:rPr>
          <w:color w:val="1F3864"/>
          <w:sz w:val="28"/>
          <w:szCs w:val="28"/>
        </w:rPr>
      </w:pPr>
    </w:p>
    <w:p w:rsidR="00536CBE" w:rsidRDefault="00536CBE" w:rsidP="006D7FF0">
      <w:pPr>
        <w:pStyle w:val="dias"/>
        <w:rPr>
          <w:color w:val="1F3864"/>
          <w:sz w:val="28"/>
          <w:szCs w:val="28"/>
        </w:rPr>
      </w:pPr>
    </w:p>
    <w:p w:rsidR="006D7FF0" w:rsidRPr="008E540C" w:rsidRDefault="006D7FF0" w:rsidP="006D7FF0">
      <w:pPr>
        <w:pStyle w:val="dias"/>
        <w:rPr>
          <w:color w:val="1F3864"/>
          <w:sz w:val="28"/>
          <w:szCs w:val="28"/>
        </w:rPr>
      </w:pPr>
      <w:r w:rsidRPr="008E540C">
        <w:rPr>
          <w:color w:val="1F3864"/>
          <w:sz w:val="28"/>
          <w:szCs w:val="28"/>
        </w:rPr>
        <w:t>DÍA 1</w:t>
      </w:r>
      <w:r w:rsidR="00B27F8E">
        <w:rPr>
          <w:color w:val="1F3864"/>
          <w:sz w:val="28"/>
          <w:szCs w:val="28"/>
        </w:rPr>
        <w:t>6</w:t>
      </w:r>
      <w:r w:rsidRPr="008E540C">
        <w:rPr>
          <w:color w:val="1F3864"/>
          <w:sz w:val="28"/>
          <w:szCs w:val="28"/>
        </w:rPr>
        <w:tab/>
        <w:t xml:space="preserve">ESTAMBUL </w:t>
      </w:r>
      <w:r w:rsidR="00771179" w:rsidRPr="008E540C">
        <w:rPr>
          <w:color w:val="1F3864"/>
          <w:sz w:val="28"/>
          <w:szCs w:val="28"/>
        </w:rPr>
        <w:t xml:space="preserve">– </w:t>
      </w:r>
      <w:r w:rsidR="00B27F8E">
        <w:rPr>
          <w:color w:val="1F3864"/>
          <w:sz w:val="28"/>
          <w:szCs w:val="28"/>
        </w:rPr>
        <w:t>bogotá</w:t>
      </w:r>
      <w:r w:rsidR="00771179" w:rsidRPr="008E540C">
        <w:rPr>
          <w:color w:val="1F3864"/>
          <w:sz w:val="28"/>
          <w:szCs w:val="28"/>
        </w:rPr>
        <w:t xml:space="preserve"> </w:t>
      </w:r>
    </w:p>
    <w:p w:rsidR="0024296E" w:rsidRDefault="00416FF1" w:rsidP="00B27F8E">
      <w:pPr>
        <w:pStyle w:val="itinerario"/>
      </w:pPr>
      <w:r w:rsidRPr="008E540C">
        <w:t xml:space="preserve">A la hora convenida, traslado al aeropuerto donde se tomará el vuelo con 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F256EA" w:rsidRDefault="00F256EA" w:rsidP="00180D59">
      <w:pPr>
        <w:pStyle w:val="itinerario"/>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0C32ED" w:rsidTr="000C32ED">
        <w:tc>
          <w:tcPr>
            <w:tcW w:w="3353" w:type="dxa"/>
            <w:shd w:val="clear" w:color="auto" w:fill="1F3864"/>
            <w:vAlign w:val="center"/>
          </w:tcPr>
          <w:p w:rsidR="000C32ED" w:rsidRPr="009E4D64" w:rsidRDefault="000C32ED"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0C32ED" w:rsidRPr="009E4D64" w:rsidRDefault="000C32ED"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0C32ED" w:rsidRPr="009E4D64" w:rsidRDefault="000C32ED" w:rsidP="00A44779">
            <w:pPr>
              <w:jc w:val="center"/>
              <w:rPr>
                <w:b/>
                <w:color w:val="FFFFFF" w:themeColor="background1"/>
                <w:sz w:val="28"/>
                <w:szCs w:val="28"/>
              </w:rPr>
            </w:pPr>
            <w:r w:rsidRPr="009E4D64">
              <w:rPr>
                <w:b/>
                <w:color w:val="FFFFFF" w:themeColor="background1"/>
                <w:sz w:val="28"/>
                <w:szCs w:val="28"/>
              </w:rPr>
              <w:t>Sencilla</w:t>
            </w:r>
          </w:p>
        </w:tc>
      </w:tr>
      <w:tr w:rsidR="000C32ED" w:rsidTr="000C32ED">
        <w:tc>
          <w:tcPr>
            <w:tcW w:w="3353" w:type="dxa"/>
            <w:vAlign w:val="center"/>
          </w:tcPr>
          <w:p w:rsidR="000C32ED" w:rsidRDefault="000C32ED" w:rsidP="0093512D">
            <w:pPr>
              <w:jc w:val="center"/>
            </w:pPr>
            <w:r>
              <w:t>11.190.000</w:t>
            </w:r>
          </w:p>
        </w:tc>
        <w:tc>
          <w:tcPr>
            <w:tcW w:w="3353" w:type="dxa"/>
            <w:vAlign w:val="center"/>
          </w:tcPr>
          <w:p w:rsidR="000C32ED" w:rsidRDefault="000C32ED" w:rsidP="0093512D">
            <w:pPr>
              <w:jc w:val="center"/>
            </w:pPr>
            <w:r>
              <w:t>11.140.000</w:t>
            </w:r>
          </w:p>
        </w:tc>
        <w:tc>
          <w:tcPr>
            <w:tcW w:w="3354" w:type="dxa"/>
            <w:vAlign w:val="center"/>
          </w:tcPr>
          <w:p w:rsidR="000C32ED" w:rsidRDefault="000C32ED" w:rsidP="0093512D">
            <w:pPr>
              <w:jc w:val="center"/>
            </w:pPr>
            <w:r>
              <w:t>13.750.000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3B6ED2">
      <w:pPr>
        <w:pStyle w:val="itinerario"/>
      </w:pPr>
    </w:p>
    <w:tbl>
      <w:tblPr>
        <w:tblStyle w:val="Tablaconcuadrcula"/>
        <w:tblW w:w="0" w:type="auto"/>
        <w:tblLayout w:type="fixed"/>
        <w:tblLook w:val="04A0" w:firstRow="1" w:lastRow="0" w:firstColumn="1" w:lastColumn="0" w:noHBand="0" w:noVBand="1"/>
      </w:tblPr>
      <w:tblGrid>
        <w:gridCol w:w="5030"/>
        <w:gridCol w:w="5030"/>
      </w:tblGrid>
      <w:tr w:rsidR="00937AFB" w:rsidTr="00973E1F">
        <w:tc>
          <w:tcPr>
            <w:tcW w:w="5030" w:type="dxa"/>
            <w:shd w:val="clear" w:color="auto" w:fill="1F3864"/>
            <w:vAlign w:val="center"/>
          </w:tcPr>
          <w:p w:rsidR="00937AFB" w:rsidRPr="009E4D64" w:rsidRDefault="00937AFB" w:rsidP="00973E1F">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937AFB" w:rsidRPr="009E4D64" w:rsidRDefault="00937AFB" w:rsidP="00973E1F">
            <w:pPr>
              <w:jc w:val="center"/>
              <w:rPr>
                <w:b/>
                <w:color w:val="FFFFFF" w:themeColor="background1"/>
                <w:sz w:val="28"/>
                <w:szCs w:val="28"/>
              </w:rPr>
            </w:pPr>
            <w:r w:rsidRPr="00413324">
              <w:rPr>
                <w:b/>
                <w:color w:val="FFFFFF" w:themeColor="background1"/>
                <w:sz w:val="28"/>
                <w:szCs w:val="28"/>
              </w:rPr>
              <w:t xml:space="preserve">Suplemento </w:t>
            </w:r>
          </w:p>
        </w:tc>
      </w:tr>
      <w:tr w:rsidR="00937AFB" w:rsidTr="00973E1F">
        <w:tc>
          <w:tcPr>
            <w:tcW w:w="5030" w:type="dxa"/>
            <w:vAlign w:val="center"/>
          </w:tcPr>
          <w:p w:rsidR="00937AFB" w:rsidRDefault="00937AFB" w:rsidP="00973E1F">
            <w:pPr>
              <w:jc w:val="center"/>
            </w:pPr>
            <w:r>
              <w:t>De 3.800 a 3.900</w:t>
            </w:r>
          </w:p>
        </w:tc>
        <w:tc>
          <w:tcPr>
            <w:tcW w:w="5030" w:type="dxa"/>
          </w:tcPr>
          <w:p w:rsidR="00937AFB" w:rsidRPr="0071553C" w:rsidRDefault="00937AFB" w:rsidP="00973E1F">
            <w:pPr>
              <w:jc w:val="center"/>
            </w:pPr>
            <w:r w:rsidRPr="0071553C">
              <w:t>200.000</w:t>
            </w:r>
          </w:p>
        </w:tc>
      </w:tr>
      <w:tr w:rsidR="00937AFB" w:rsidTr="00973E1F">
        <w:tc>
          <w:tcPr>
            <w:tcW w:w="5030" w:type="dxa"/>
            <w:vAlign w:val="center"/>
          </w:tcPr>
          <w:p w:rsidR="00937AFB" w:rsidRPr="0088015B" w:rsidRDefault="00937AFB" w:rsidP="00973E1F">
            <w:pPr>
              <w:jc w:val="center"/>
            </w:pPr>
            <w:r>
              <w:t>De 3.901 a 4.000</w:t>
            </w:r>
          </w:p>
        </w:tc>
        <w:tc>
          <w:tcPr>
            <w:tcW w:w="5030" w:type="dxa"/>
          </w:tcPr>
          <w:p w:rsidR="00937AFB" w:rsidRPr="0071553C" w:rsidRDefault="00937AFB" w:rsidP="00973E1F">
            <w:pPr>
              <w:jc w:val="center"/>
            </w:pPr>
            <w:r w:rsidRPr="0071553C">
              <w:t>490.000</w:t>
            </w:r>
          </w:p>
        </w:tc>
      </w:tr>
      <w:tr w:rsidR="00937AFB" w:rsidTr="00973E1F">
        <w:tc>
          <w:tcPr>
            <w:tcW w:w="5030" w:type="dxa"/>
            <w:vAlign w:val="center"/>
          </w:tcPr>
          <w:p w:rsidR="00937AFB" w:rsidRDefault="00937AFB" w:rsidP="00973E1F">
            <w:pPr>
              <w:jc w:val="center"/>
            </w:pPr>
            <w:r>
              <w:t>De 4.001 a 4.100</w:t>
            </w:r>
          </w:p>
        </w:tc>
        <w:tc>
          <w:tcPr>
            <w:tcW w:w="5030" w:type="dxa"/>
          </w:tcPr>
          <w:p w:rsidR="00937AFB" w:rsidRPr="0071553C" w:rsidRDefault="00937AFB" w:rsidP="00973E1F">
            <w:pPr>
              <w:jc w:val="center"/>
            </w:pPr>
            <w:r w:rsidRPr="0071553C">
              <w:t>770</w:t>
            </w:r>
            <w:r>
              <w:t>.000</w:t>
            </w:r>
          </w:p>
        </w:tc>
      </w:tr>
      <w:tr w:rsidR="00937AFB" w:rsidTr="00973E1F">
        <w:tc>
          <w:tcPr>
            <w:tcW w:w="5030" w:type="dxa"/>
            <w:vAlign w:val="center"/>
          </w:tcPr>
          <w:p w:rsidR="00937AFB" w:rsidRDefault="00937AFB" w:rsidP="00973E1F">
            <w:pPr>
              <w:jc w:val="center"/>
            </w:pPr>
            <w:r>
              <w:t>De 4.101 a 4.200</w:t>
            </w:r>
          </w:p>
        </w:tc>
        <w:tc>
          <w:tcPr>
            <w:tcW w:w="5030" w:type="dxa"/>
          </w:tcPr>
          <w:p w:rsidR="00937AFB" w:rsidRDefault="00937AFB" w:rsidP="00973E1F">
            <w:pPr>
              <w:jc w:val="center"/>
            </w:pPr>
            <w:r w:rsidRPr="0071553C">
              <w:t>1.045.000</w:t>
            </w:r>
          </w:p>
        </w:tc>
      </w:tr>
      <w:tr w:rsidR="00937AFB" w:rsidTr="00973E1F">
        <w:tc>
          <w:tcPr>
            <w:tcW w:w="5030" w:type="dxa"/>
          </w:tcPr>
          <w:p w:rsidR="00937AFB" w:rsidRDefault="00937AFB" w:rsidP="00973E1F">
            <w:pPr>
              <w:jc w:val="center"/>
            </w:pPr>
            <w:r>
              <w:t>De 4.201 a 4.3</w:t>
            </w:r>
            <w:r w:rsidRPr="005026DC">
              <w:t>00</w:t>
            </w:r>
          </w:p>
        </w:tc>
        <w:tc>
          <w:tcPr>
            <w:tcW w:w="5030" w:type="dxa"/>
            <w:vAlign w:val="bottom"/>
          </w:tcPr>
          <w:p w:rsidR="00937AFB" w:rsidRDefault="00937AFB" w:rsidP="00973E1F">
            <w:pPr>
              <w:spacing w:before="0" w:after="0" w:line="240" w:lineRule="auto"/>
              <w:jc w:val="center"/>
              <w:rPr>
                <w:rFonts w:cs="Calibri"/>
                <w:color w:val="000000"/>
                <w:szCs w:val="22"/>
              </w:rPr>
            </w:pPr>
            <w:r>
              <w:rPr>
                <w:rFonts w:cs="Calibri"/>
                <w:color w:val="000000"/>
                <w:szCs w:val="22"/>
              </w:rPr>
              <w:t>1.365.000</w:t>
            </w:r>
          </w:p>
        </w:tc>
      </w:tr>
      <w:tr w:rsidR="00937AFB" w:rsidTr="00973E1F">
        <w:tc>
          <w:tcPr>
            <w:tcW w:w="5030" w:type="dxa"/>
          </w:tcPr>
          <w:p w:rsidR="00937AFB" w:rsidRDefault="00937AFB" w:rsidP="00973E1F">
            <w:pPr>
              <w:jc w:val="center"/>
            </w:pPr>
            <w:r>
              <w:t>De 4.301 a 4.4</w:t>
            </w:r>
            <w:r w:rsidRPr="005026DC">
              <w:t>00</w:t>
            </w:r>
          </w:p>
        </w:tc>
        <w:tc>
          <w:tcPr>
            <w:tcW w:w="5030" w:type="dxa"/>
            <w:vAlign w:val="bottom"/>
          </w:tcPr>
          <w:p w:rsidR="00937AFB" w:rsidRDefault="00937AFB" w:rsidP="00973E1F">
            <w:pPr>
              <w:jc w:val="center"/>
              <w:rPr>
                <w:rFonts w:cs="Calibri"/>
                <w:color w:val="000000"/>
                <w:szCs w:val="22"/>
              </w:rPr>
            </w:pPr>
            <w:r>
              <w:rPr>
                <w:rFonts w:cs="Calibri"/>
                <w:color w:val="000000"/>
                <w:szCs w:val="22"/>
              </w:rPr>
              <w:t>1.655.000</w:t>
            </w:r>
          </w:p>
        </w:tc>
      </w:tr>
      <w:tr w:rsidR="00937AFB" w:rsidTr="00973E1F">
        <w:tc>
          <w:tcPr>
            <w:tcW w:w="5030" w:type="dxa"/>
          </w:tcPr>
          <w:p w:rsidR="00937AFB" w:rsidRDefault="00937AFB" w:rsidP="00973E1F">
            <w:pPr>
              <w:jc w:val="center"/>
            </w:pPr>
            <w:r>
              <w:t>De 4.401 a 4.5</w:t>
            </w:r>
            <w:r w:rsidRPr="005026DC">
              <w:t>00</w:t>
            </w:r>
          </w:p>
        </w:tc>
        <w:tc>
          <w:tcPr>
            <w:tcW w:w="5030" w:type="dxa"/>
            <w:vAlign w:val="bottom"/>
          </w:tcPr>
          <w:p w:rsidR="00937AFB" w:rsidRDefault="00937AFB" w:rsidP="00973E1F">
            <w:pPr>
              <w:jc w:val="center"/>
              <w:rPr>
                <w:rFonts w:cs="Calibri"/>
                <w:color w:val="000000"/>
                <w:szCs w:val="22"/>
              </w:rPr>
            </w:pPr>
            <w:r>
              <w:rPr>
                <w:rFonts w:cs="Calibri"/>
                <w:color w:val="000000"/>
                <w:szCs w:val="22"/>
              </w:rPr>
              <w:t>1.940..000</w:t>
            </w:r>
          </w:p>
        </w:tc>
      </w:tr>
    </w:tbl>
    <w:p w:rsidR="00937AFB" w:rsidRDefault="00937AFB" w:rsidP="003B6ED2">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ED4653" w:rsidTr="00F256EA">
        <w:tc>
          <w:tcPr>
            <w:tcW w:w="1838"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F256EA" w:rsidTr="00F256EA">
        <w:tc>
          <w:tcPr>
            <w:tcW w:w="1838" w:type="dxa"/>
            <w:vAlign w:val="center"/>
          </w:tcPr>
          <w:p w:rsidR="00F256EA" w:rsidRPr="002D7356" w:rsidRDefault="00F256EA" w:rsidP="00F256EA">
            <w:pPr>
              <w:jc w:val="center"/>
            </w:pPr>
            <w:r>
              <w:t>Día 1</w:t>
            </w:r>
          </w:p>
        </w:tc>
        <w:tc>
          <w:tcPr>
            <w:tcW w:w="2192" w:type="dxa"/>
            <w:vAlign w:val="center"/>
          </w:tcPr>
          <w:p w:rsidR="00F256EA" w:rsidRPr="002D7356" w:rsidRDefault="00F256EA" w:rsidP="00F256EA">
            <w:pPr>
              <w:jc w:val="center"/>
            </w:pPr>
            <w:r w:rsidRPr="002D7356">
              <w:t>Bogotá – Estambul</w:t>
            </w:r>
          </w:p>
        </w:tc>
        <w:tc>
          <w:tcPr>
            <w:tcW w:w="2012" w:type="dxa"/>
          </w:tcPr>
          <w:p w:rsidR="00F256EA" w:rsidRPr="00BE093F" w:rsidRDefault="00F256EA" w:rsidP="00F256EA">
            <w:pPr>
              <w:jc w:val="center"/>
            </w:pPr>
            <w:r w:rsidRPr="00BE093F">
              <w:t>TK 800</w:t>
            </w:r>
          </w:p>
        </w:tc>
        <w:tc>
          <w:tcPr>
            <w:tcW w:w="2012" w:type="dxa"/>
          </w:tcPr>
          <w:p w:rsidR="00F256EA" w:rsidRPr="00BE093F" w:rsidRDefault="00F256EA" w:rsidP="00F256EA">
            <w:pPr>
              <w:jc w:val="center"/>
            </w:pPr>
            <w:r w:rsidRPr="00BE093F">
              <w:t>16:45</w:t>
            </w:r>
          </w:p>
        </w:tc>
        <w:tc>
          <w:tcPr>
            <w:tcW w:w="2016" w:type="dxa"/>
          </w:tcPr>
          <w:p w:rsidR="00F256EA" w:rsidRPr="00BE093F" w:rsidRDefault="00F256EA" w:rsidP="00F256EA">
            <w:pPr>
              <w:jc w:val="center"/>
            </w:pPr>
            <w:r w:rsidRPr="00BE093F">
              <w:t>16:50+1</w:t>
            </w:r>
          </w:p>
        </w:tc>
      </w:tr>
      <w:tr w:rsidR="00F256EA" w:rsidTr="00F256EA">
        <w:tc>
          <w:tcPr>
            <w:tcW w:w="1838" w:type="dxa"/>
            <w:vAlign w:val="center"/>
          </w:tcPr>
          <w:p w:rsidR="00F256EA" w:rsidRDefault="00F256EA" w:rsidP="007233EF">
            <w:pPr>
              <w:jc w:val="center"/>
            </w:pPr>
            <w:r>
              <w:t xml:space="preserve">Día </w:t>
            </w:r>
            <w:r w:rsidR="007233EF">
              <w:t>2</w:t>
            </w:r>
          </w:p>
        </w:tc>
        <w:tc>
          <w:tcPr>
            <w:tcW w:w="2192" w:type="dxa"/>
            <w:vAlign w:val="center"/>
          </w:tcPr>
          <w:p w:rsidR="00F256EA" w:rsidRPr="002D7356" w:rsidRDefault="00F256EA" w:rsidP="00F256EA">
            <w:pPr>
              <w:jc w:val="center"/>
            </w:pPr>
            <w:r>
              <w:t>Estambul – Cairo</w:t>
            </w:r>
          </w:p>
        </w:tc>
        <w:tc>
          <w:tcPr>
            <w:tcW w:w="2012" w:type="dxa"/>
          </w:tcPr>
          <w:p w:rsidR="00F256EA" w:rsidRPr="00BE093F" w:rsidRDefault="00F256EA" w:rsidP="00F256EA">
            <w:pPr>
              <w:jc w:val="center"/>
            </w:pPr>
            <w:r w:rsidRPr="00BE093F">
              <w:t>TK 694</w:t>
            </w:r>
          </w:p>
        </w:tc>
        <w:tc>
          <w:tcPr>
            <w:tcW w:w="2012" w:type="dxa"/>
          </w:tcPr>
          <w:p w:rsidR="00F256EA" w:rsidRPr="00BE093F" w:rsidRDefault="00F256EA" w:rsidP="00F256EA">
            <w:pPr>
              <w:jc w:val="center"/>
            </w:pPr>
            <w:r w:rsidRPr="00BE093F">
              <w:t>18:30</w:t>
            </w:r>
          </w:p>
        </w:tc>
        <w:tc>
          <w:tcPr>
            <w:tcW w:w="2016" w:type="dxa"/>
          </w:tcPr>
          <w:p w:rsidR="00F256EA" w:rsidRPr="00BE093F" w:rsidRDefault="00F256EA" w:rsidP="00F256EA">
            <w:pPr>
              <w:jc w:val="center"/>
            </w:pPr>
            <w:r w:rsidRPr="00BE093F">
              <w:t>19:50</w:t>
            </w:r>
          </w:p>
        </w:tc>
      </w:tr>
      <w:tr w:rsidR="00F256EA" w:rsidTr="00F256EA">
        <w:tc>
          <w:tcPr>
            <w:tcW w:w="1838" w:type="dxa"/>
            <w:vAlign w:val="center"/>
          </w:tcPr>
          <w:p w:rsidR="00F256EA" w:rsidRDefault="00F256EA" w:rsidP="007233EF">
            <w:pPr>
              <w:jc w:val="center"/>
            </w:pPr>
            <w:r>
              <w:t xml:space="preserve">Día </w:t>
            </w:r>
            <w:r w:rsidR="007233EF">
              <w:t>8</w:t>
            </w:r>
          </w:p>
        </w:tc>
        <w:tc>
          <w:tcPr>
            <w:tcW w:w="2192" w:type="dxa"/>
            <w:vAlign w:val="center"/>
          </w:tcPr>
          <w:p w:rsidR="00F256EA" w:rsidRPr="002D7356" w:rsidRDefault="00F256EA" w:rsidP="00F256EA">
            <w:pPr>
              <w:jc w:val="center"/>
            </w:pPr>
            <w:r>
              <w:t>Hurghada – Estambul</w:t>
            </w:r>
          </w:p>
        </w:tc>
        <w:tc>
          <w:tcPr>
            <w:tcW w:w="2012" w:type="dxa"/>
          </w:tcPr>
          <w:p w:rsidR="00F256EA" w:rsidRPr="00BE093F" w:rsidRDefault="00F256EA" w:rsidP="00F256EA">
            <w:pPr>
              <w:jc w:val="center"/>
            </w:pPr>
            <w:r w:rsidRPr="00BE093F">
              <w:t>TK 1430</w:t>
            </w:r>
          </w:p>
        </w:tc>
        <w:tc>
          <w:tcPr>
            <w:tcW w:w="2012" w:type="dxa"/>
          </w:tcPr>
          <w:p w:rsidR="00F256EA" w:rsidRPr="00BE093F" w:rsidRDefault="00F256EA" w:rsidP="00F256EA">
            <w:pPr>
              <w:jc w:val="center"/>
            </w:pPr>
            <w:r w:rsidRPr="00BE093F">
              <w:t>0:30</w:t>
            </w:r>
          </w:p>
        </w:tc>
        <w:tc>
          <w:tcPr>
            <w:tcW w:w="2016" w:type="dxa"/>
          </w:tcPr>
          <w:p w:rsidR="00F256EA" w:rsidRPr="00BE093F" w:rsidRDefault="00F256EA" w:rsidP="00F256EA">
            <w:pPr>
              <w:jc w:val="center"/>
            </w:pPr>
            <w:r w:rsidRPr="00BE093F">
              <w:t>4:30</w:t>
            </w:r>
          </w:p>
        </w:tc>
      </w:tr>
      <w:tr w:rsidR="00F256EA" w:rsidTr="00F256EA">
        <w:tc>
          <w:tcPr>
            <w:tcW w:w="1838" w:type="dxa"/>
            <w:vAlign w:val="center"/>
          </w:tcPr>
          <w:p w:rsidR="00F256EA" w:rsidRPr="002D7356" w:rsidRDefault="00F256EA" w:rsidP="007233EF">
            <w:pPr>
              <w:jc w:val="center"/>
            </w:pPr>
            <w:r>
              <w:t>Día 1</w:t>
            </w:r>
            <w:r w:rsidR="007233EF">
              <w:t>6</w:t>
            </w:r>
          </w:p>
        </w:tc>
        <w:tc>
          <w:tcPr>
            <w:tcW w:w="2192" w:type="dxa"/>
            <w:vAlign w:val="center"/>
          </w:tcPr>
          <w:p w:rsidR="00F256EA" w:rsidRPr="002D7356" w:rsidRDefault="00F256EA" w:rsidP="00F256EA">
            <w:pPr>
              <w:jc w:val="center"/>
            </w:pPr>
            <w:r w:rsidRPr="002D7356">
              <w:t xml:space="preserve">Estambul </w:t>
            </w:r>
            <w:r>
              <w:t>–</w:t>
            </w:r>
            <w:r w:rsidRPr="002D7356">
              <w:t xml:space="preserve"> Bogotá</w:t>
            </w:r>
          </w:p>
        </w:tc>
        <w:tc>
          <w:tcPr>
            <w:tcW w:w="2012" w:type="dxa"/>
          </w:tcPr>
          <w:p w:rsidR="00F256EA" w:rsidRPr="00BE093F" w:rsidRDefault="00F256EA" w:rsidP="00F256EA">
            <w:pPr>
              <w:jc w:val="center"/>
            </w:pPr>
            <w:r w:rsidRPr="00BE093F">
              <w:t>TK 801</w:t>
            </w:r>
          </w:p>
        </w:tc>
        <w:tc>
          <w:tcPr>
            <w:tcW w:w="2012" w:type="dxa"/>
          </w:tcPr>
          <w:p w:rsidR="00F256EA" w:rsidRPr="00BE093F" w:rsidRDefault="00F256EA" w:rsidP="00F256EA">
            <w:pPr>
              <w:jc w:val="center"/>
            </w:pPr>
            <w:r w:rsidRPr="00BE093F">
              <w:t>10:00</w:t>
            </w:r>
          </w:p>
        </w:tc>
        <w:tc>
          <w:tcPr>
            <w:tcW w:w="2016" w:type="dxa"/>
          </w:tcPr>
          <w:p w:rsidR="00F256EA" w:rsidRDefault="00F256EA" w:rsidP="00F256EA">
            <w:pPr>
              <w:jc w:val="center"/>
            </w:pPr>
            <w:r w:rsidRPr="00BE093F">
              <w:t>15:20</w:t>
            </w:r>
          </w:p>
        </w:tc>
      </w:tr>
    </w:tbl>
    <w:p w:rsidR="003513DC" w:rsidRDefault="003513DC" w:rsidP="003513DC">
      <w:pPr>
        <w:pStyle w:val="itinerario"/>
      </w:pPr>
    </w:p>
    <w:p w:rsidR="00ED4653" w:rsidRDefault="00ED4653" w:rsidP="003513DC">
      <w:pPr>
        <w:pStyle w:val="vinetas"/>
        <w:ind w:left="720" w:hanging="360"/>
        <w:jc w:val="both"/>
      </w:pPr>
      <w:r w:rsidRPr="00640F75">
        <w:t>Estos itinerarios se publican con los vuelos informados por las aerolíneas, pueden variar si ella así lo determina.</w:t>
      </w:r>
    </w:p>
    <w:p w:rsidR="003513DC" w:rsidRDefault="003513DC" w:rsidP="003513DC">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536CBE" w:rsidRDefault="00536CBE" w:rsidP="00536CBE">
      <w:pPr>
        <w:pStyle w:val="itinerario"/>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A44779">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El Cairo</w:t>
            </w:r>
          </w:p>
        </w:tc>
        <w:tc>
          <w:tcPr>
            <w:tcW w:w="4086" w:type="dxa"/>
            <w:vAlign w:val="center"/>
          </w:tcPr>
          <w:p w:rsidR="00F774DF" w:rsidRPr="009806DD" w:rsidRDefault="00F774DF" w:rsidP="00F774DF">
            <w:pPr>
              <w:jc w:val="center"/>
              <w:rPr>
                <w:rFonts w:cs="Arial"/>
                <w:szCs w:val="22"/>
                <w:lang w:val="en-US"/>
              </w:rPr>
            </w:pPr>
            <w:r w:rsidRPr="00F774DF">
              <w:rPr>
                <w:rFonts w:cs="Arial"/>
                <w:szCs w:val="22"/>
                <w:lang w:val="en-US"/>
              </w:rPr>
              <w:t>Ramses Hilton</w:t>
            </w:r>
          </w:p>
        </w:tc>
        <w:tc>
          <w:tcPr>
            <w:tcW w:w="3357" w:type="dxa"/>
          </w:tcPr>
          <w:p w:rsidR="00F774DF" w:rsidRPr="00E50A4C" w:rsidRDefault="00F774DF" w:rsidP="00F774DF">
            <w:pPr>
              <w:jc w:val="center"/>
            </w:pPr>
            <w:r w:rsidRPr="00E50A4C">
              <w:t>Primera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Crucero por El Nilo</w:t>
            </w:r>
          </w:p>
        </w:tc>
        <w:tc>
          <w:tcPr>
            <w:tcW w:w="4086" w:type="dxa"/>
            <w:vAlign w:val="center"/>
          </w:tcPr>
          <w:p w:rsidR="00F774DF" w:rsidRPr="009806DD" w:rsidRDefault="00F774DF" w:rsidP="00F774DF">
            <w:pPr>
              <w:jc w:val="center"/>
              <w:rPr>
                <w:rFonts w:cs="Arial"/>
                <w:szCs w:val="22"/>
                <w:lang w:val="en-US"/>
              </w:rPr>
            </w:pPr>
            <w:r w:rsidRPr="00F774DF">
              <w:rPr>
                <w:rFonts w:cs="Arial"/>
                <w:szCs w:val="22"/>
                <w:lang w:val="en-US"/>
              </w:rPr>
              <w:t>Sarah</w:t>
            </w:r>
          </w:p>
        </w:tc>
        <w:tc>
          <w:tcPr>
            <w:tcW w:w="3357" w:type="dxa"/>
          </w:tcPr>
          <w:p w:rsidR="00F774DF" w:rsidRDefault="00F774DF" w:rsidP="00F774DF">
            <w:pPr>
              <w:jc w:val="center"/>
            </w:pPr>
            <w:r w:rsidRPr="00E50A4C">
              <w:t>Primera</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Estambul</w:t>
            </w:r>
          </w:p>
        </w:tc>
        <w:tc>
          <w:tcPr>
            <w:tcW w:w="4086" w:type="dxa"/>
            <w:vAlign w:val="center"/>
          </w:tcPr>
          <w:p w:rsidR="00ED4653" w:rsidRDefault="00ED4653" w:rsidP="00A44779">
            <w:pPr>
              <w:jc w:val="center"/>
              <w:rPr>
                <w:rFonts w:cs="Arial"/>
                <w:szCs w:val="22"/>
                <w:lang w:val="en-US"/>
              </w:rPr>
            </w:pPr>
            <w:r w:rsidRPr="009806DD">
              <w:rPr>
                <w:rFonts w:cs="Arial"/>
                <w:szCs w:val="22"/>
                <w:lang w:val="en-US"/>
              </w:rPr>
              <w:t>Clarion Golden Horn</w:t>
            </w:r>
          </w:p>
          <w:p w:rsidR="00ED4653" w:rsidRDefault="00ED4653" w:rsidP="00A44779">
            <w:pPr>
              <w:jc w:val="center"/>
              <w:rPr>
                <w:rFonts w:cs="Arial"/>
                <w:szCs w:val="22"/>
                <w:lang w:val="en-US"/>
              </w:rPr>
            </w:pPr>
            <w:r>
              <w:rPr>
                <w:rFonts w:cs="Arial"/>
                <w:szCs w:val="22"/>
                <w:lang w:val="en-US"/>
              </w:rPr>
              <w:t>o</w:t>
            </w:r>
          </w:p>
          <w:p w:rsidR="00ED4653" w:rsidRDefault="00ED4653" w:rsidP="00A44779">
            <w:pPr>
              <w:jc w:val="center"/>
              <w:rPr>
                <w:rFonts w:cs="Arial"/>
                <w:szCs w:val="22"/>
                <w:lang w:val="en-US"/>
              </w:rPr>
            </w:pPr>
            <w:r w:rsidRPr="00175253">
              <w:rPr>
                <w:rFonts w:cs="Arial"/>
                <w:szCs w:val="22"/>
                <w:lang w:val="en-US"/>
              </w:rPr>
              <w:t>Hilton Garden Inn Golden Horn</w:t>
            </w:r>
          </w:p>
          <w:p w:rsidR="00A14FA0" w:rsidRDefault="00A14FA0" w:rsidP="00A44779">
            <w:pPr>
              <w:jc w:val="center"/>
              <w:rPr>
                <w:rFonts w:cs="Arial"/>
                <w:szCs w:val="22"/>
                <w:lang w:val="en-US"/>
              </w:rPr>
            </w:pPr>
            <w:r>
              <w:rPr>
                <w:rFonts w:cs="Arial"/>
                <w:szCs w:val="22"/>
                <w:lang w:val="en-US"/>
              </w:rPr>
              <w:t>o</w:t>
            </w:r>
          </w:p>
          <w:p w:rsidR="00A14FA0" w:rsidRPr="009806DD" w:rsidRDefault="00A14FA0" w:rsidP="00A44779">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A44779">
            <w:pPr>
              <w:jc w:val="center"/>
              <w:rPr>
                <w:rFonts w:cs="Arial"/>
                <w:szCs w:val="22"/>
              </w:rPr>
            </w:pPr>
            <w:r>
              <w:rPr>
                <w:rFonts w:cs="Arial"/>
                <w:szCs w:val="22"/>
              </w:rPr>
              <w:t>Primera Superior</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Capadocia</w:t>
            </w:r>
          </w:p>
        </w:tc>
        <w:tc>
          <w:tcPr>
            <w:tcW w:w="4086" w:type="dxa"/>
            <w:vAlign w:val="center"/>
          </w:tcPr>
          <w:p w:rsidR="00BC6EE8" w:rsidRPr="00233729" w:rsidRDefault="00BC6EE8" w:rsidP="00BC6EE8">
            <w:pPr>
              <w:jc w:val="center"/>
              <w:rPr>
                <w:rFonts w:cs="Arial"/>
                <w:szCs w:val="22"/>
                <w:lang w:val="es-ES"/>
              </w:rPr>
            </w:pPr>
            <w:r w:rsidRPr="00233729">
              <w:rPr>
                <w:rFonts w:cs="Arial"/>
                <w:szCs w:val="22"/>
                <w:lang w:val="es-ES"/>
              </w:rPr>
              <w:t>Mustafa Cappadocia Resort</w:t>
            </w:r>
          </w:p>
          <w:p w:rsidR="00BC6EE8" w:rsidRPr="00233729" w:rsidRDefault="00BC6EE8" w:rsidP="00BC6EE8">
            <w:pPr>
              <w:jc w:val="center"/>
              <w:rPr>
                <w:rFonts w:cs="Arial"/>
                <w:szCs w:val="22"/>
                <w:lang w:val="es-ES"/>
              </w:rPr>
            </w:pPr>
            <w:r w:rsidRPr="00233729">
              <w:rPr>
                <w:rFonts w:cs="Arial"/>
                <w:szCs w:val="22"/>
                <w:lang w:val="es-ES"/>
              </w:rPr>
              <w:t>o</w:t>
            </w:r>
          </w:p>
          <w:p w:rsidR="00ED4653" w:rsidRPr="00233729" w:rsidRDefault="00ED4653" w:rsidP="00A44779">
            <w:pPr>
              <w:jc w:val="center"/>
              <w:rPr>
                <w:rFonts w:cs="Arial"/>
                <w:szCs w:val="22"/>
                <w:lang w:val="es-ES"/>
              </w:rPr>
            </w:pPr>
            <w:r w:rsidRPr="00233729">
              <w:rPr>
                <w:rFonts w:cs="Arial"/>
                <w:szCs w:val="22"/>
                <w:lang w:val="es-ES"/>
              </w:rPr>
              <w:t>Dinler Urgup</w:t>
            </w:r>
          </w:p>
          <w:p w:rsidR="00ED4653" w:rsidRPr="00233729" w:rsidRDefault="00ED4653" w:rsidP="00A44779">
            <w:pPr>
              <w:jc w:val="center"/>
              <w:rPr>
                <w:rFonts w:cs="Arial"/>
                <w:szCs w:val="22"/>
                <w:lang w:val="es-ES"/>
              </w:rPr>
            </w:pPr>
            <w:r w:rsidRPr="00233729">
              <w:rPr>
                <w:rFonts w:cs="Arial"/>
                <w:szCs w:val="22"/>
                <w:lang w:val="es-ES"/>
              </w:rPr>
              <w:t>o</w:t>
            </w:r>
          </w:p>
          <w:p w:rsidR="00ED4653" w:rsidRDefault="00ED4653" w:rsidP="00A44779">
            <w:pPr>
              <w:jc w:val="center"/>
              <w:rPr>
                <w:rFonts w:cs="Arial"/>
                <w:szCs w:val="22"/>
                <w:lang w:val="en-US"/>
              </w:rPr>
            </w:pPr>
            <w:r>
              <w:rPr>
                <w:rFonts w:cs="Arial"/>
                <w:szCs w:val="22"/>
                <w:lang w:val="en-US"/>
              </w:rPr>
              <w:t>Perissia</w:t>
            </w:r>
          </w:p>
        </w:tc>
        <w:tc>
          <w:tcPr>
            <w:tcW w:w="3357" w:type="dxa"/>
            <w:vAlign w:val="center"/>
          </w:tcPr>
          <w:p w:rsidR="00ED4653" w:rsidRDefault="00ED4653" w:rsidP="00A44779">
            <w:pPr>
              <w:jc w:val="center"/>
              <w:rPr>
                <w:rFonts w:cs="Arial"/>
                <w:szCs w:val="22"/>
              </w:rPr>
            </w:pPr>
            <w:r>
              <w:rPr>
                <w:rFonts w:cs="Arial"/>
                <w:szCs w:val="22"/>
              </w:rPr>
              <w:t>Primera</w:t>
            </w:r>
          </w:p>
        </w:tc>
      </w:tr>
      <w:tr w:rsidR="00ED4653" w:rsidRPr="002D7356" w:rsidTr="00A44779">
        <w:tc>
          <w:tcPr>
            <w:tcW w:w="2627" w:type="dxa"/>
            <w:vAlign w:val="center"/>
          </w:tcPr>
          <w:p w:rsidR="00ED4653" w:rsidRPr="002D7356" w:rsidRDefault="00ED4653" w:rsidP="00A44779">
            <w:pPr>
              <w:jc w:val="center"/>
              <w:rPr>
                <w:rFonts w:cs="Arial"/>
                <w:szCs w:val="22"/>
              </w:rPr>
            </w:pPr>
            <w:r>
              <w:rPr>
                <w:rFonts w:cs="Arial"/>
                <w:szCs w:val="22"/>
              </w:rPr>
              <w:t>Pamukkale</w:t>
            </w:r>
          </w:p>
        </w:tc>
        <w:tc>
          <w:tcPr>
            <w:tcW w:w="4086" w:type="dxa"/>
            <w:vAlign w:val="center"/>
          </w:tcPr>
          <w:p w:rsidR="00ED4653" w:rsidRDefault="00ED4653" w:rsidP="00A44779">
            <w:pPr>
              <w:jc w:val="center"/>
              <w:rPr>
                <w:rFonts w:cs="Arial"/>
                <w:szCs w:val="22"/>
              </w:rPr>
            </w:pPr>
            <w:r>
              <w:rPr>
                <w:rFonts w:cs="Arial"/>
                <w:szCs w:val="22"/>
              </w:rPr>
              <w:t xml:space="preserve">Richmond Thermal </w:t>
            </w:r>
          </w:p>
          <w:p w:rsidR="00A14FA0" w:rsidRDefault="00A14FA0" w:rsidP="00A14FA0">
            <w:pPr>
              <w:jc w:val="center"/>
              <w:rPr>
                <w:rFonts w:cs="Arial"/>
                <w:szCs w:val="22"/>
              </w:rPr>
            </w:pPr>
            <w:r>
              <w:rPr>
                <w:rFonts w:cs="Arial"/>
                <w:szCs w:val="22"/>
              </w:rPr>
              <w:t>o</w:t>
            </w:r>
          </w:p>
          <w:p w:rsidR="00A14FA0" w:rsidRDefault="00A14FA0" w:rsidP="00A14FA0">
            <w:pPr>
              <w:jc w:val="center"/>
              <w:rPr>
                <w:rFonts w:cs="Arial"/>
                <w:szCs w:val="22"/>
              </w:rPr>
            </w:pPr>
            <w:r>
              <w:rPr>
                <w:rFonts w:cs="Arial"/>
                <w:szCs w:val="22"/>
              </w:rPr>
              <w:t>Hierapark</w:t>
            </w:r>
          </w:p>
          <w:p w:rsidR="00ED4653" w:rsidRDefault="00ED4653" w:rsidP="00A44779">
            <w:pPr>
              <w:jc w:val="center"/>
              <w:rPr>
                <w:rFonts w:cs="Arial"/>
                <w:szCs w:val="22"/>
              </w:rPr>
            </w:pPr>
            <w:r>
              <w:rPr>
                <w:rFonts w:cs="Arial"/>
                <w:szCs w:val="22"/>
              </w:rPr>
              <w:t>o</w:t>
            </w:r>
          </w:p>
          <w:p w:rsidR="00ED4653" w:rsidRDefault="00ED4653" w:rsidP="00A14FA0">
            <w:pPr>
              <w:jc w:val="center"/>
              <w:rPr>
                <w:rFonts w:cs="Arial"/>
                <w:szCs w:val="22"/>
              </w:rPr>
            </w:pPr>
            <w:r>
              <w:rPr>
                <w:rFonts w:cs="Arial"/>
                <w:szCs w:val="22"/>
              </w:rPr>
              <w:t>Adempira</w:t>
            </w:r>
          </w:p>
        </w:tc>
        <w:tc>
          <w:tcPr>
            <w:tcW w:w="3357" w:type="dxa"/>
            <w:vAlign w:val="center"/>
          </w:tcPr>
          <w:p w:rsidR="00ED4653" w:rsidRDefault="00ED4653" w:rsidP="00A44779">
            <w:pPr>
              <w:jc w:val="center"/>
              <w:rPr>
                <w:rFonts w:cs="Arial"/>
                <w:szCs w:val="22"/>
              </w:rPr>
            </w:pPr>
            <w:r>
              <w:rPr>
                <w:rFonts w:cs="Arial"/>
                <w:szCs w:val="22"/>
              </w:rPr>
              <w:t>Primera</w:t>
            </w:r>
          </w:p>
        </w:tc>
      </w:tr>
      <w:tr w:rsidR="00FF155F" w:rsidRPr="002D7356" w:rsidTr="00A44779">
        <w:tc>
          <w:tcPr>
            <w:tcW w:w="2627" w:type="dxa"/>
            <w:vAlign w:val="center"/>
          </w:tcPr>
          <w:p w:rsidR="00FF155F" w:rsidRDefault="00FF155F" w:rsidP="00FF155F">
            <w:pPr>
              <w:jc w:val="center"/>
              <w:rPr>
                <w:rFonts w:cs="Arial"/>
                <w:szCs w:val="22"/>
              </w:rPr>
            </w:pPr>
            <w:r w:rsidRPr="002D7356">
              <w:rPr>
                <w:rFonts w:cs="Arial"/>
                <w:szCs w:val="22"/>
              </w:rPr>
              <w:t>Kusadasi</w:t>
            </w:r>
          </w:p>
          <w:p w:rsidR="00FF155F" w:rsidRDefault="00FF155F" w:rsidP="00FF155F">
            <w:pPr>
              <w:jc w:val="center"/>
              <w:rPr>
                <w:rFonts w:cs="Arial"/>
                <w:szCs w:val="22"/>
              </w:rPr>
            </w:pPr>
            <w:r>
              <w:rPr>
                <w:rFonts w:cs="Arial"/>
                <w:szCs w:val="22"/>
              </w:rPr>
              <w:t xml:space="preserve">o </w:t>
            </w:r>
          </w:p>
          <w:p w:rsidR="00FF155F" w:rsidRPr="002D7356" w:rsidRDefault="00FF155F" w:rsidP="00FF155F">
            <w:pPr>
              <w:jc w:val="center"/>
              <w:rPr>
                <w:rFonts w:cs="Arial"/>
                <w:szCs w:val="22"/>
              </w:rPr>
            </w:pPr>
            <w:r>
              <w:rPr>
                <w:rFonts w:cs="Arial"/>
                <w:szCs w:val="22"/>
              </w:rPr>
              <w:t>Izmir</w:t>
            </w:r>
          </w:p>
        </w:tc>
        <w:tc>
          <w:tcPr>
            <w:tcW w:w="4086" w:type="dxa"/>
            <w:vAlign w:val="center"/>
          </w:tcPr>
          <w:p w:rsidR="00FF155F" w:rsidRDefault="00FF155F" w:rsidP="00FF155F">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F774DF" w:rsidRDefault="00F774DF" w:rsidP="00FF155F">
            <w:pPr>
              <w:jc w:val="center"/>
              <w:rPr>
                <w:rFonts w:cs="Arial"/>
                <w:szCs w:val="22"/>
                <w:lang w:val="en-US"/>
              </w:rPr>
            </w:pPr>
          </w:p>
          <w:p w:rsidR="00FF155F" w:rsidRPr="001F5BCB" w:rsidRDefault="00F774DF" w:rsidP="00FF155F">
            <w:pPr>
              <w:jc w:val="center"/>
              <w:rPr>
                <w:rFonts w:cs="Arial"/>
                <w:szCs w:val="22"/>
                <w:lang w:val="en-US"/>
              </w:rPr>
            </w:pPr>
            <w:r w:rsidRPr="00F774DF">
              <w:rPr>
                <w:rFonts w:cs="Arial"/>
                <w:szCs w:val="22"/>
                <w:lang w:val="en-US"/>
              </w:rPr>
              <w:t>Izmir Kaya Thermal</w:t>
            </w:r>
          </w:p>
        </w:tc>
        <w:tc>
          <w:tcPr>
            <w:tcW w:w="3357" w:type="dxa"/>
            <w:vAlign w:val="center"/>
          </w:tcPr>
          <w:p w:rsidR="00FF155F" w:rsidRDefault="00FF155F" w:rsidP="00FF155F">
            <w:pPr>
              <w:jc w:val="center"/>
              <w:rPr>
                <w:rFonts w:cs="Arial"/>
                <w:szCs w:val="22"/>
              </w:rPr>
            </w:pPr>
            <w:r>
              <w:rPr>
                <w:rFonts w:cs="Arial"/>
                <w:szCs w:val="22"/>
              </w:rPr>
              <w:t>Primera Superior</w:t>
            </w:r>
          </w:p>
          <w:p w:rsidR="00FF155F" w:rsidRDefault="00FF155F" w:rsidP="00FF155F">
            <w:pPr>
              <w:jc w:val="center"/>
              <w:rPr>
                <w:rFonts w:cs="Arial"/>
                <w:szCs w:val="22"/>
              </w:rPr>
            </w:pPr>
          </w:p>
          <w:p w:rsidR="00FF155F" w:rsidRPr="002D7356" w:rsidRDefault="00FF155F" w:rsidP="00FF155F">
            <w:pPr>
              <w:jc w:val="center"/>
              <w:rPr>
                <w:rFonts w:cs="Arial"/>
                <w:szCs w:val="22"/>
              </w:rPr>
            </w:pPr>
            <w:r>
              <w:rPr>
                <w:rFonts w:cs="Arial"/>
                <w:szCs w:val="22"/>
              </w:rPr>
              <w:t>Primera</w:t>
            </w:r>
          </w:p>
        </w:tc>
      </w:tr>
    </w:tbl>
    <w:p w:rsidR="00536CBE" w:rsidRDefault="00536CBE" w:rsidP="00536CBE">
      <w:pPr>
        <w:pStyle w:val="itinerario"/>
      </w:pPr>
    </w:p>
    <w:p w:rsidR="00536CBE" w:rsidRDefault="00536CBE" w:rsidP="00ED4653">
      <w:pPr>
        <w:pStyle w:val="subtitulo1"/>
        <w:rPr>
          <w:color w:val="1F3864"/>
        </w:rPr>
      </w:pPr>
    </w:p>
    <w:p w:rsidR="00536CBE" w:rsidRDefault="00536CBE" w:rsidP="00ED4653">
      <w:pPr>
        <w:pStyle w:val="subtitulo1"/>
        <w:rPr>
          <w:color w:val="1F3864"/>
        </w:rPr>
      </w:pPr>
    </w:p>
    <w:p w:rsidR="00536CBE" w:rsidRDefault="00536CBE" w:rsidP="00ED4653">
      <w:pPr>
        <w:pStyle w:val="subtitulo1"/>
        <w:rPr>
          <w:color w:val="1F3864"/>
        </w:rPr>
      </w:pPr>
    </w:p>
    <w:p w:rsidR="00536CBE" w:rsidRDefault="00536CBE" w:rsidP="00ED4653">
      <w:pPr>
        <w:pStyle w:val="subtitulo1"/>
        <w:rPr>
          <w:color w:val="1F3864"/>
        </w:rPr>
      </w:pPr>
    </w:p>
    <w:p w:rsidR="00ED4653" w:rsidRPr="003C7C40" w:rsidRDefault="00ED4653" w:rsidP="00ED4653">
      <w:pPr>
        <w:pStyle w:val="subtitulo1"/>
        <w:rPr>
          <w:color w:val="1F3864"/>
        </w:rPr>
      </w:pPr>
      <w:r w:rsidRPr="003C7C40">
        <w:rPr>
          <w:color w:val="1F3864"/>
        </w:rPr>
        <w:t>Valor visitas opcionales en USD por persona</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Pr="00554B1E" w:rsidRDefault="00EA5A0E" w:rsidP="00823CF5">
            <w:pPr>
              <w:jc w:val="center"/>
              <w:rPr>
                <w:rFonts w:cs="Arial"/>
              </w:rPr>
            </w:pPr>
            <w:r>
              <w:rPr>
                <w:rFonts w:cs="Arial"/>
              </w:rPr>
              <w:t>240</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sidRPr="00554B1E">
              <w:rPr>
                <w:rFonts w:cs="Arial"/>
              </w:rPr>
              <w:t>Show Nocturno</w:t>
            </w:r>
            <w:r>
              <w:rPr>
                <w:rFonts w:cs="Arial"/>
              </w:rPr>
              <w:t xml:space="preserve"> Noche Turca</w:t>
            </w:r>
          </w:p>
        </w:tc>
        <w:tc>
          <w:tcPr>
            <w:tcW w:w="1428" w:type="dxa"/>
            <w:vAlign w:val="center"/>
          </w:tcPr>
          <w:p w:rsidR="00702694" w:rsidRPr="00554B1E" w:rsidRDefault="00702694" w:rsidP="00823CF5">
            <w:pPr>
              <w:jc w:val="center"/>
              <w:rPr>
                <w:rFonts w:cs="Arial"/>
              </w:rPr>
            </w:pPr>
            <w:r>
              <w:rPr>
                <w:rFonts w:cs="Arial"/>
              </w:rPr>
              <w:t>60</w:t>
            </w:r>
          </w:p>
        </w:tc>
      </w:tr>
      <w:tr w:rsidR="00702694" w:rsidRPr="00554B1E" w:rsidTr="00823CF5">
        <w:tc>
          <w:tcPr>
            <w:tcW w:w="1696" w:type="dxa"/>
            <w:vAlign w:val="center"/>
          </w:tcPr>
          <w:p w:rsidR="00702694" w:rsidRDefault="00702694" w:rsidP="00823CF5">
            <w:pPr>
              <w:jc w:val="center"/>
              <w:rPr>
                <w:rFonts w:cs="Arial"/>
              </w:rPr>
            </w:pPr>
            <w:r>
              <w:rPr>
                <w:rFonts w:cs="Arial"/>
              </w:rPr>
              <w:t>Pamukkale</w:t>
            </w:r>
          </w:p>
        </w:tc>
        <w:tc>
          <w:tcPr>
            <w:tcW w:w="6946" w:type="dxa"/>
            <w:vAlign w:val="center"/>
          </w:tcPr>
          <w:p w:rsidR="00702694"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Default="00702694" w:rsidP="00823CF5">
            <w:pPr>
              <w:jc w:val="center"/>
              <w:rPr>
                <w:rFonts w:cs="Arial"/>
              </w:rPr>
            </w:pPr>
            <w:r>
              <w:rPr>
                <w:rFonts w:cs="Arial"/>
              </w:rPr>
              <w:t>190</w:t>
            </w:r>
          </w:p>
        </w:tc>
      </w:tr>
      <w:tr w:rsidR="00702694" w:rsidRPr="00554B1E" w:rsidTr="00823CF5">
        <w:tc>
          <w:tcPr>
            <w:tcW w:w="1696" w:type="dxa"/>
            <w:vAlign w:val="center"/>
          </w:tcPr>
          <w:p w:rsidR="00702694" w:rsidRDefault="00702694" w:rsidP="00823CF5">
            <w:pPr>
              <w:jc w:val="center"/>
              <w:rPr>
                <w:rFonts w:cs="Arial"/>
              </w:rPr>
            </w:pPr>
            <w:r>
              <w:rPr>
                <w:rFonts w:cs="Arial"/>
              </w:rPr>
              <w:t>Kusadasi</w:t>
            </w:r>
          </w:p>
        </w:tc>
        <w:tc>
          <w:tcPr>
            <w:tcW w:w="6946" w:type="dxa"/>
            <w:vAlign w:val="center"/>
          </w:tcPr>
          <w:p w:rsidR="00702694" w:rsidRDefault="00702694" w:rsidP="00536CBE">
            <w:pPr>
              <w:jc w:val="center"/>
              <w:rPr>
                <w:rFonts w:cs="Arial"/>
              </w:rPr>
            </w:pPr>
            <w:r>
              <w:rPr>
                <w:rFonts w:cs="Arial"/>
              </w:rPr>
              <w:t xml:space="preserve">Excursión a Samos </w:t>
            </w:r>
          </w:p>
        </w:tc>
        <w:tc>
          <w:tcPr>
            <w:tcW w:w="1428" w:type="dxa"/>
            <w:vAlign w:val="center"/>
          </w:tcPr>
          <w:p w:rsidR="00702694" w:rsidRDefault="00702694" w:rsidP="00823CF5">
            <w:pPr>
              <w:jc w:val="center"/>
              <w:rPr>
                <w:rFonts w:cs="Arial"/>
              </w:rPr>
            </w:pPr>
            <w:r>
              <w:rPr>
                <w:rFonts w:cs="Arial"/>
              </w:rPr>
              <w:t>160</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bl>
    <w:p w:rsidR="00702694" w:rsidRDefault="00702694" w:rsidP="00702694">
      <w:pPr>
        <w:pStyle w:val="itinerario"/>
      </w:pPr>
    </w:p>
    <w:p w:rsidR="00702694" w:rsidRDefault="00702694" w:rsidP="00702694">
      <w:pPr>
        <w:pStyle w:val="vinetas"/>
        <w:ind w:left="720" w:hanging="360"/>
        <w:jc w:val="both"/>
      </w:pPr>
      <w:r w:rsidRPr="00051910">
        <w:t>Los opcionales operarán en el destino con un mínimo de 10 participantes</w:t>
      </w:r>
      <w:r>
        <w:t>,</w:t>
      </w:r>
      <w:r w:rsidRPr="00051910">
        <w:t xml:space="preserve"> excepto el paseo en globo.</w:t>
      </w:r>
    </w:p>
    <w:p w:rsidR="00702694" w:rsidRDefault="00702694" w:rsidP="00702694">
      <w:pPr>
        <w:pStyle w:val="vinetas"/>
        <w:jc w:val="both"/>
      </w:pPr>
      <w:r>
        <w:t>L</w:t>
      </w:r>
      <w:r w:rsidRPr="00947063">
        <w:t>os precios del paseo en globo depende</w:t>
      </w:r>
      <w:r>
        <w:t xml:space="preserve">n </w:t>
      </w:r>
      <w:r w:rsidRPr="00947063">
        <w:t>de la demanda en el mercado y los operadores de los globos</w:t>
      </w:r>
      <w:r>
        <w:t xml:space="preserve">, pueden </w:t>
      </w:r>
      <w:r w:rsidRPr="00947063">
        <w:t>aumentar sin previo aviso.</w:t>
      </w:r>
    </w:p>
    <w:p w:rsidR="00702694" w:rsidRDefault="00702694" w:rsidP="00702694">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702694" w:rsidRDefault="00702694" w:rsidP="00ED4653">
      <w:pPr>
        <w:pStyle w:val="itinerario"/>
      </w:pPr>
    </w:p>
    <w:p w:rsidR="00ED4653" w:rsidRPr="003C7C40" w:rsidRDefault="002C41FF" w:rsidP="00ED4653">
      <w:pPr>
        <w:pStyle w:val="dias"/>
        <w:jc w:val="both"/>
        <w:rPr>
          <w:color w:val="1F3864"/>
          <w:sz w:val="28"/>
          <w:szCs w:val="28"/>
        </w:rPr>
      </w:pPr>
      <w:r w:rsidRPr="003C7C40">
        <w:rPr>
          <w:caps w:val="0"/>
          <w:color w:val="1F3864"/>
          <w:sz w:val="28"/>
          <w:szCs w:val="28"/>
        </w:rPr>
        <w:t>SUPLEMENTO ALOJAMIENTO EN CAPADOCIA EN EL HOTEL YUNAK, DERE SUITES O SIMILAR, POR PERSONA</w:t>
      </w:r>
    </w:p>
    <w:p w:rsidR="00ED4653" w:rsidRDefault="00702694" w:rsidP="00ED4653">
      <w:pPr>
        <w:pStyle w:val="itinerario"/>
      </w:pPr>
      <w:r>
        <w:t xml:space="preserve">Habitación doble o triple </w:t>
      </w:r>
      <w:r>
        <w:tab/>
        <w:t xml:space="preserve">    </w:t>
      </w:r>
      <w:r w:rsidR="008E1984">
        <w:t>850</w:t>
      </w:r>
      <w:r w:rsidR="00ED4653">
        <w:t>.000</w:t>
      </w:r>
      <w:r w:rsidR="00ED4653">
        <w:tab/>
      </w:r>
      <w:r w:rsidR="00ED4653">
        <w:tab/>
      </w:r>
    </w:p>
    <w:p w:rsidR="00ED4653" w:rsidRDefault="00ED4653" w:rsidP="00ED4653">
      <w:pPr>
        <w:pStyle w:val="itinerario"/>
      </w:pPr>
      <w:r>
        <w:t>Habitación sencilla</w:t>
      </w:r>
      <w:r>
        <w:tab/>
      </w:r>
      <w:r>
        <w:tab/>
        <w:t>1.200.000</w:t>
      </w:r>
      <w:r>
        <w:tab/>
      </w:r>
    </w:p>
    <w:p w:rsidR="00ED4653" w:rsidRDefault="00ED4653" w:rsidP="00ED4653">
      <w:pPr>
        <w:pStyle w:val="itinerario"/>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702694" w:rsidRDefault="00702694" w:rsidP="00702694">
      <w:pPr>
        <w:pStyle w:val="vinetas"/>
        <w:ind w:left="720" w:hanging="360"/>
        <w:jc w:val="both"/>
      </w:pPr>
      <w:r>
        <w:t xml:space="preserve">Prueba PCR para el ingreso a Egipto, sellado y con código </w:t>
      </w:r>
      <w:r w:rsidRPr="000E6CBF">
        <w:t>QR</w:t>
      </w:r>
      <w:r>
        <w:t xml:space="preserve">. Se tomará en Colombia. </w:t>
      </w:r>
      <w:r w:rsidRPr="00654689">
        <w:t>Se debe tomar 72 horas antes de la llegada.</w:t>
      </w:r>
      <w:r>
        <w:t xml:space="preserve"> Costo aproximado por persona $ 200.000. Será tomada en los laboratorios Synlab de convenio. </w:t>
      </w:r>
    </w:p>
    <w:p w:rsidR="00702694" w:rsidRDefault="00702694" w:rsidP="00702694">
      <w:pPr>
        <w:pStyle w:val="vinetas"/>
        <w:ind w:left="720" w:hanging="360"/>
        <w:jc w:val="both"/>
      </w:pPr>
      <w:r>
        <w:t xml:space="preserve">Para el ingreso a </w:t>
      </w:r>
      <w:r w:rsidR="00C92395">
        <w:t>Turquía se</w:t>
      </w:r>
      <w:r>
        <w:t xml:space="preserve"> requiere:</w:t>
      </w:r>
    </w:p>
    <w:p w:rsidR="00702694" w:rsidRDefault="00702694" w:rsidP="00702694">
      <w:pPr>
        <w:pStyle w:val="vinetas"/>
        <w:numPr>
          <w:ilvl w:val="1"/>
          <w:numId w:val="41"/>
        </w:numPr>
        <w:jc w:val="both"/>
      </w:pPr>
      <w:r>
        <w:t xml:space="preserve">Prueba PCR. </w:t>
      </w:r>
      <w:r w:rsidRPr="005D0983">
        <w:t xml:space="preserve">Se tomará en Egipto 72 horas antes de la llegada. Costo aproximado </w:t>
      </w:r>
      <w:r>
        <w:t xml:space="preserve">USD 145 </w:t>
      </w:r>
      <w:r w:rsidRPr="005D0983">
        <w:t>por persona.</w:t>
      </w:r>
    </w:p>
    <w:p w:rsidR="00980479" w:rsidRDefault="00702694" w:rsidP="00702694">
      <w:pPr>
        <w:pStyle w:val="vinetas"/>
        <w:numPr>
          <w:ilvl w:val="1"/>
          <w:numId w:val="41"/>
        </w:numPr>
        <w:jc w:val="both"/>
      </w:pPr>
      <w:r>
        <w:t>Carnet de vacunación Covid 19, con las dos dosis y pasados 14 días entre la última dosis y el viaje</w:t>
      </w:r>
      <w:r w:rsidR="00980479">
        <w:t>.</w:t>
      </w:r>
    </w:p>
    <w:p w:rsidR="00702694" w:rsidRDefault="00702694" w:rsidP="00702694">
      <w:pPr>
        <w:pStyle w:val="vinetas"/>
        <w:ind w:left="720" w:hanging="360"/>
        <w:jc w:val="both"/>
      </w:pPr>
      <w:r w:rsidRPr="00477DDA">
        <w:t>Servicios no descritos en el programa.</w:t>
      </w:r>
    </w:p>
    <w:p w:rsidR="00702694" w:rsidRPr="00477DDA" w:rsidRDefault="00702694" w:rsidP="00702694">
      <w:pPr>
        <w:pStyle w:val="vinetas"/>
        <w:ind w:left="720" w:hanging="360"/>
        <w:jc w:val="both"/>
      </w:pPr>
      <w:r>
        <w:t>Bebidas con las comidas.</w:t>
      </w:r>
    </w:p>
    <w:p w:rsidR="00702694" w:rsidRPr="00477DDA" w:rsidRDefault="00702694" w:rsidP="00702694">
      <w:pPr>
        <w:pStyle w:val="vinetas"/>
        <w:ind w:left="720" w:hanging="360"/>
        <w:jc w:val="both"/>
      </w:pPr>
      <w:r w:rsidRPr="00477DDA">
        <w:t xml:space="preserve">Tiquetes aéreos desde otras ciudades de Colombia. </w:t>
      </w:r>
    </w:p>
    <w:p w:rsidR="00702694" w:rsidRPr="00477DDA" w:rsidRDefault="00702694" w:rsidP="00702694">
      <w:pPr>
        <w:pStyle w:val="vinetas"/>
        <w:ind w:left="720" w:hanging="360"/>
        <w:jc w:val="both"/>
      </w:pPr>
      <w:r w:rsidRPr="00477DDA">
        <w:t>Excursiones opcionales.</w:t>
      </w:r>
    </w:p>
    <w:p w:rsidR="00702694" w:rsidRPr="00477DDA" w:rsidRDefault="00702694" w:rsidP="00702694">
      <w:pPr>
        <w:pStyle w:val="vinetas"/>
        <w:ind w:left="720" w:hanging="360"/>
        <w:jc w:val="both"/>
      </w:pPr>
      <w:r w:rsidRPr="00477DDA">
        <w:t>Alimentación no estipulada en los itinerarios.</w:t>
      </w:r>
    </w:p>
    <w:p w:rsidR="00702694" w:rsidRPr="00477DDA" w:rsidRDefault="00702694" w:rsidP="00702694">
      <w:pPr>
        <w:pStyle w:val="vinetas"/>
        <w:ind w:left="720" w:hanging="360"/>
        <w:jc w:val="both"/>
      </w:pPr>
      <w:r w:rsidRPr="00477DDA">
        <w:t>Traslados donde no esté contemplado.</w:t>
      </w:r>
    </w:p>
    <w:p w:rsidR="00702694" w:rsidRPr="00477DDA" w:rsidRDefault="00702694" w:rsidP="00702694">
      <w:pPr>
        <w:pStyle w:val="vinetas"/>
        <w:ind w:left="720" w:hanging="360"/>
        <w:jc w:val="both"/>
      </w:pPr>
      <w:r w:rsidRPr="00477DDA">
        <w:t>Extras de ningún tipo en los hoteles.</w:t>
      </w:r>
    </w:p>
    <w:p w:rsidR="00702694" w:rsidRPr="00477DDA" w:rsidRDefault="00702694" w:rsidP="00702694">
      <w:pPr>
        <w:pStyle w:val="vinetas"/>
        <w:ind w:left="720" w:hanging="360"/>
        <w:jc w:val="both"/>
      </w:pPr>
      <w:r w:rsidRPr="00477DDA">
        <w:t>Excesos de equipaje.</w:t>
      </w:r>
    </w:p>
    <w:p w:rsidR="00702694" w:rsidRPr="00477DDA" w:rsidRDefault="00702694" w:rsidP="00702694">
      <w:pPr>
        <w:pStyle w:val="vinetas"/>
        <w:ind w:left="720" w:hanging="360"/>
        <w:jc w:val="both"/>
      </w:pPr>
      <w:r w:rsidRPr="00477DDA">
        <w:t xml:space="preserve">Gastos de índole personal. </w:t>
      </w:r>
    </w:p>
    <w:p w:rsidR="00702694" w:rsidRDefault="00702694" w:rsidP="00702694">
      <w:pPr>
        <w:pStyle w:val="vinetas"/>
        <w:ind w:left="720" w:hanging="360"/>
        <w:jc w:val="both"/>
      </w:pPr>
      <w:r w:rsidRPr="00477DDA">
        <w:t>Propinas en hoteles, aeropuertos, guías, conductores, restaurantes.</w:t>
      </w:r>
    </w:p>
    <w:p w:rsidR="00702694" w:rsidRDefault="00702694" w:rsidP="00702694">
      <w:pPr>
        <w:pStyle w:val="vinetas"/>
        <w:ind w:left="720" w:hanging="360"/>
        <w:jc w:val="both"/>
      </w:pPr>
      <w:r>
        <w:t>Egipto: propinas en el crucero por el Nilo USD 3</w:t>
      </w:r>
      <w:r w:rsidR="00EE26B1">
        <w:t>5</w:t>
      </w:r>
      <w:r>
        <w:t>, se pagan directamente en destino.</w:t>
      </w:r>
    </w:p>
    <w:p w:rsidR="00702694" w:rsidRPr="00477DDA" w:rsidRDefault="00702694" w:rsidP="00702694">
      <w:pPr>
        <w:pStyle w:val="vinetas"/>
        <w:ind w:left="720" w:hanging="360"/>
        <w:jc w:val="both"/>
      </w:pPr>
      <w:r>
        <w:t>Egipto: propinas de servicios de maleteros en hoteles y aeropuertos USD 10. se pagan directamente en destino.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8"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536CBE" w:rsidRDefault="00536CBE" w:rsidP="00ED4653">
      <w:pPr>
        <w:spacing w:before="240" w:after="0" w:line="120" w:lineRule="atLeast"/>
        <w:rPr>
          <w:rFonts w:cs="Calibri"/>
          <w:b/>
          <w:bCs/>
          <w:caps/>
          <w:color w:val="1F3864"/>
          <w:sz w:val="28"/>
          <w:szCs w:val="28"/>
        </w:rPr>
      </w:pPr>
    </w:p>
    <w:p w:rsidR="00536CBE" w:rsidRDefault="00536CBE" w:rsidP="00ED4653">
      <w:pPr>
        <w:spacing w:before="240" w:after="0" w:line="120" w:lineRule="atLeast"/>
        <w:rPr>
          <w:rFonts w:cs="Calibri"/>
          <w:b/>
          <w:bCs/>
          <w:caps/>
          <w:color w:val="1F3864"/>
          <w:sz w:val="28"/>
          <w:szCs w:val="28"/>
        </w:rPr>
      </w:pPr>
    </w:p>
    <w:p w:rsidR="00536CBE" w:rsidRDefault="00536CBE" w:rsidP="00ED4653">
      <w:pPr>
        <w:spacing w:before="240" w:after="0" w:line="120" w:lineRule="atLeast"/>
        <w:rPr>
          <w:rFonts w:cs="Calibri"/>
          <w:b/>
          <w:bCs/>
          <w:caps/>
          <w:color w:val="1F3864"/>
          <w:sz w:val="28"/>
          <w:szCs w:val="28"/>
        </w:rPr>
      </w:pP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EE26B1">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EE26B1">
      <w:pPr>
        <w:pStyle w:val="vinetas"/>
        <w:ind w:left="720" w:hanging="360"/>
      </w:pPr>
      <w:r>
        <w:t>Visado de Egipto (incluido en el precio).</w:t>
      </w:r>
    </w:p>
    <w:p w:rsidR="00EE26B1" w:rsidRDefault="00EE26B1" w:rsidP="00EE26B1">
      <w:pPr>
        <w:pStyle w:val="vinetas"/>
        <w:ind w:left="720" w:hanging="360"/>
      </w:pPr>
      <w:r>
        <w:t>Certificado Internacional Vacuna Fiebre Amarilla.</w:t>
      </w:r>
    </w:p>
    <w:p w:rsidR="00EE26B1" w:rsidRPr="001C5A60" w:rsidRDefault="00EE26B1" w:rsidP="00EE26B1">
      <w:pPr>
        <w:pStyle w:val="vinetas"/>
        <w:ind w:left="720" w:hanging="360"/>
        <w:jc w:val="both"/>
      </w:pPr>
      <w:r w:rsidRPr="001C5A60">
        <w:t xml:space="preserve">Para menores de edad, se debe adjuntar copia del Registro Civil. </w:t>
      </w:r>
    </w:p>
    <w:p w:rsidR="00EE26B1" w:rsidRPr="001C5A60" w:rsidRDefault="00EE26B1" w:rsidP="00EE26B1">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EE26B1">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3513DC" w:rsidRDefault="003513DC"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536CBE" w:rsidRDefault="00536CBE"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P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177FE9" w:rsidRPr="00177FE9" w:rsidRDefault="00177FE9" w:rsidP="00177FE9">
      <w:pPr>
        <w:spacing w:before="0" w:after="0"/>
        <w:jc w:val="both"/>
        <w:rPr>
          <w:rFonts w:cs="Calibri"/>
          <w:szCs w:val="22"/>
        </w:rPr>
      </w:pP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Egipto se sugiere un </w:t>
      </w:r>
      <w:r w:rsidR="00E050B1" w:rsidRPr="00177FE9">
        <w:rPr>
          <w:rFonts w:cs="Calibri"/>
          <w:szCs w:val="22"/>
        </w:rPr>
        <w:t>valor de</w:t>
      </w:r>
      <w:r w:rsidRPr="00177FE9">
        <w:rPr>
          <w:rFonts w:cs="Calibri"/>
          <w:szCs w:val="22"/>
        </w:rPr>
        <w:t xml:space="preserve"> USD 5 diarios para el guía y USD 2 para el conductor.</w:t>
      </w: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Turquía, se recomienda USD 5 diarios para el guía y USD 2 para el conductor.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536CBE" w:rsidRDefault="00536CBE"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1D1EC0" w:rsidP="00ED4653">
      <w:pPr>
        <w:numPr>
          <w:ilvl w:val="0"/>
          <w:numId w:val="40"/>
        </w:numPr>
        <w:contextualSpacing/>
        <w:rPr>
          <w:rFonts w:cs="Calibri"/>
          <w:szCs w:val="22"/>
        </w:rPr>
      </w:pPr>
      <w:hyperlink r:id="rId9"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2"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4"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C0" w:rsidRDefault="001D1EC0" w:rsidP="00AC7E3C">
      <w:pPr>
        <w:spacing w:after="0" w:line="240" w:lineRule="auto"/>
      </w:pPr>
      <w:r>
        <w:separator/>
      </w:r>
    </w:p>
  </w:endnote>
  <w:endnote w:type="continuationSeparator" w:id="0">
    <w:p w:rsidR="001D1EC0" w:rsidRDefault="001D1EC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C0" w:rsidRDefault="001D1EC0" w:rsidP="00AC7E3C">
      <w:pPr>
        <w:spacing w:after="0" w:line="240" w:lineRule="auto"/>
      </w:pPr>
      <w:r>
        <w:separator/>
      </w:r>
    </w:p>
  </w:footnote>
  <w:footnote w:type="continuationSeparator" w:id="0">
    <w:p w:rsidR="001D1EC0" w:rsidRDefault="001D1EC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801F3"/>
    <w:rsid w:val="000808B3"/>
    <w:rsid w:val="00081ECE"/>
    <w:rsid w:val="00085982"/>
    <w:rsid w:val="00086FF2"/>
    <w:rsid w:val="00087955"/>
    <w:rsid w:val="0009632F"/>
    <w:rsid w:val="000963C4"/>
    <w:rsid w:val="00096C57"/>
    <w:rsid w:val="00097376"/>
    <w:rsid w:val="000A0347"/>
    <w:rsid w:val="000A0B34"/>
    <w:rsid w:val="000A3C02"/>
    <w:rsid w:val="000A4E11"/>
    <w:rsid w:val="000B11A8"/>
    <w:rsid w:val="000B26D7"/>
    <w:rsid w:val="000B26DC"/>
    <w:rsid w:val="000B2BEE"/>
    <w:rsid w:val="000B5843"/>
    <w:rsid w:val="000B58CF"/>
    <w:rsid w:val="000C17DC"/>
    <w:rsid w:val="000C1B4E"/>
    <w:rsid w:val="000C218D"/>
    <w:rsid w:val="000C32E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3759"/>
    <w:rsid w:val="00165DA2"/>
    <w:rsid w:val="001703C2"/>
    <w:rsid w:val="00172421"/>
    <w:rsid w:val="001749D6"/>
    <w:rsid w:val="0017795C"/>
    <w:rsid w:val="00177FE9"/>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EC0"/>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13DC"/>
    <w:rsid w:val="0035674D"/>
    <w:rsid w:val="00357E27"/>
    <w:rsid w:val="0036249B"/>
    <w:rsid w:val="00363565"/>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6ED2"/>
    <w:rsid w:val="003B7FF2"/>
    <w:rsid w:val="003C29A6"/>
    <w:rsid w:val="003C5EEA"/>
    <w:rsid w:val="003C6506"/>
    <w:rsid w:val="003C653D"/>
    <w:rsid w:val="003C667A"/>
    <w:rsid w:val="003C7A27"/>
    <w:rsid w:val="003D0B01"/>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36CBE"/>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90D6C"/>
    <w:rsid w:val="00592385"/>
    <w:rsid w:val="005A2DCA"/>
    <w:rsid w:val="005A3218"/>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812D6"/>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1984"/>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512D"/>
    <w:rsid w:val="00937243"/>
    <w:rsid w:val="00937AFB"/>
    <w:rsid w:val="0094050F"/>
    <w:rsid w:val="00940CBE"/>
    <w:rsid w:val="00941692"/>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41D4"/>
    <w:rsid w:val="00A94774"/>
    <w:rsid w:val="00A95A86"/>
    <w:rsid w:val="00A9670D"/>
    <w:rsid w:val="00A973FB"/>
    <w:rsid w:val="00AA5CC8"/>
    <w:rsid w:val="00AB4388"/>
    <w:rsid w:val="00AB5F38"/>
    <w:rsid w:val="00AC7E3C"/>
    <w:rsid w:val="00AD10FF"/>
    <w:rsid w:val="00AD263D"/>
    <w:rsid w:val="00AD2D78"/>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AAE"/>
    <w:rsid w:val="00B03D7A"/>
    <w:rsid w:val="00B06784"/>
    <w:rsid w:val="00B12E2D"/>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8A8"/>
    <w:rsid w:val="00C02BEF"/>
    <w:rsid w:val="00C03263"/>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53C5"/>
    <w:rsid w:val="00C75DA9"/>
    <w:rsid w:val="00C76A20"/>
    <w:rsid w:val="00C7728A"/>
    <w:rsid w:val="00C81187"/>
    <w:rsid w:val="00C83982"/>
    <w:rsid w:val="00C850BD"/>
    <w:rsid w:val="00C85357"/>
    <w:rsid w:val="00C87656"/>
    <w:rsid w:val="00C92395"/>
    <w:rsid w:val="00C93701"/>
    <w:rsid w:val="00C93D66"/>
    <w:rsid w:val="00C94DD2"/>
    <w:rsid w:val="00C9668F"/>
    <w:rsid w:val="00CA1AEA"/>
    <w:rsid w:val="00CA6381"/>
    <w:rsid w:val="00CA74BD"/>
    <w:rsid w:val="00CB3C99"/>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4113"/>
    <w:rsid w:val="00D44317"/>
    <w:rsid w:val="00D45F12"/>
    <w:rsid w:val="00D46E3C"/>
    <w:rsid w:val="00D46EB4"/>
    <w:rsid w:val="00D53486"/>
    <w:rsid w:val="00D54A45"/>
    <w:rsid w:val="00D54AE4"/>
    <w:rsid w:val="00D559FE"/>
    <w:rsid w:val="00D56A49"/>
    <w:rsid w:val="00D60459"/>
    <w:rsid w:val="00D65354"/>
    <w:rsid w:val="00D67A42"/>
    <w:rsid w:val="00D73E12"/>
    <w:rsid w:val="00D7582E"/>
    <w:rsid w:val="00D76030"/>
    <w:rsid w:val="00D81521"/>
    <w:rsid w:val="00D86F59"/>
    <w:rsid w:val="00D93345"/>
    <w:rsid w:val="00D9437B"/>
    <w:rsid w:val="00D95461"/>
    <w:rsid w:val="00D969F0"/>
    <w:rsid w:val="00DA5190"/>
    <w:rsid w:val="00DB0FCE"/>
    <w:rsid w:val="00DB1BF0"/>
    <w:rsid w:val="00DB21FB"/>
    <w:rsid w:val="00DB2791"/>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3E51"/>
    <w:rsid w:val="00EA3F88"/>
    <w:rsid w:val="00EA4D79"/>
    <w:rsid w:val="00EA5A0E"/>
    <w:rsid w:val="00EB08A8"/>
    <w:rsid w:val="00EB2A06"/>
    <w:rsid w:val="00EC1259"/>
    <w:rsid w:val="00EC2EB7"/>
    <w:rsid w:val="00EC5A38"/>
    <w:rsid w:val="00EC6950"/>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94CB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D145-8F10-4854-94EC-6CEDDB9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8227</Words>
  <Characters>45250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2022-07-07T15:26:00Z</dcterms:created>
  <dcterms:modified xsi:type="dcterms:W3CDTF">2022-07-07T15:26:00Z</dcterms:modified>
</cp:coreProperties>
</file>